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lang w:val="en-US" w:eastAsia="zh-CN"/>
        </w:rPr>
        <w:t>广州大学松田学院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关于安全堡垒机系统</w:t>
      </w:r>
      <w:r>
        <w:rPr>
          <w:rFonts w:hint="eastAsia" w:ascii="仿宋" w:hAnsi="仿宋" w:eastAsia="仿宋"/>
          <w:b/>
          <w:color w:val="auto"/>
          <w:sz w:val="44"/>
          <w:szCs w:val="44"/>
          <w:lang w:val="en-US" w:eastAsia="zh-CN"/>
        </w:rPr>
        <w:t>采购</w:t>
      </w:r>
      <w:r>
        <w:rPr>
          <w:rFonts w:hint="eastAsia" w:ascii="仿宋" w:hAnsi="仿宋" w:eastAsia="仿宋"/>
          <w:b/>
          <w:color w:val="auto"/>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891" w:firstLineChars="8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A-XJ2020-28</w:t>
      </w:r>
    </w:p>
    <w:p>
      <w:pPr>
        <w:spacing w:line="500" w:lineRule="exact"/>
        <w:ind w:left="4676" w:leftChars="1304" w:hanging="1807" w:hangingChars="500"/>
        <w:rPr>
          <w:rFonts w:hint="eastAsia" w:ascii="仿宋" w:hAnsi="仿宋" w:eastAsia="仿宋" w:cs="仿宋"/>
          <w:b/>
          <w:color w:val="FF0000"/>
          <w:sz w:val="36"/>
          <w:szCs w:val="36"/>
          <w:lang w:val="en-US" w:eastAsia="zh-CN"/>
        </w:rPr>
        <w:sectPr>
          <w:headerReference r:id="rId3" w:type="default"/>
          <w:footerReference r:id="rId4" w:type="default"/>
          <w:pgSz w:w="11906" w:h="16838"/>
          <w:pgMar w:top="1440" w:right="1416" w:bottom="1440" w:left="1134" w:header="851" w:footer="227" w:gutter="0"/>
          <w:cols w:space="425" w:num="1"/>
          <w:titlePg/>
          <w:docGrid w:type="lines" w:linePitch="312" w:charSpace="0"/>
        </w:sectPr>
      </w:pPr>
      <w:bookmarkStart w:id="1" w:name="_Toc160880485"/>
      <w:bookmarkStart w:id="2" w:name="_Toc160880118"/>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7891359"/>
      <w:bookmarkStart w:id="5" w:name="_Toc251613780"/>
      <w:bookmarkStart w:id="6" w:name="_Toc267059786"/>
      <w:bookmarkStart w:id="7" w:name="_Toc227058483"/>
      <w:bookmarkStart w:id="8" w:name="_Toc212456146"/>
      <w:bookmarkStart w:id="9" w:name="_Toc170798743"/>
      <w:bookmarkStart w:id="10" w:name="_Toc216241307"/>
      <w:bookmarkStart w:id="11" w:name="_Toc267060407"/>
      <w:bookmarkStart w:id="12" w:name="_Toc235437942"/>
      <w:bookmarkStart w:id="13" w:name="_Toc273178686"/>
      <w:bookmarkStart w:id="14" w:name="_Toc223146565"/>
      <w:bookmarkStart w:id="15" w:name="_Toc267059899"/>
      <w:bookmarkStart w:id="16" w:name="_Toc254790852"/>
      <w:bookmarkStart w:id="17" w:name="_Toc211937196"/>
      <w:bookmarkStart w:id="18" w:name="_Toc235438227"/>
      <w:bookmarkStart w:id="19" w:name="_Toc267060162"/>
      <w:bookmarkStart w:id="20" w:name="_Toc266870386"/>
      <w:bookmarkStart w:id="21" w:name="_Toc251586187"/>
      <w:bookmarkStart w:id="22" w:name="_Toc267059161"/>
      <w:bookmarkStart w:id="23" w:name="_Toc255974963"/>
      <w:bookmarkStart w:id="24" w:name="_Toc267059010"/>
      <w:bookmarkStart w:id="25" w:name="_Toc258401210"/>
      <w:bookmarkStart w:id="26" w:name="_Toc253066567"/>
      <w:bookmarkStart w:id="27" w:name="_Toc212526081"/>
      <w:bookmarkStart w:id="28" w:name="_Toc259692600"/>
      <w:bookmarkStart w:id="29" w:name="_Toc259520819"/>
      <w:bookmarkStart w:id="30" w:name="_Toc267059519"/>
      <w:bookmarkStart w:id="31" w:name="_Toc225669277"/>
      <w:bookmarkStart w:id="32" w:name="_Toc267060022"/>
      <w:bookmarkStart w:id="33" w:name="_Toc266870861"/>
      <w:bookmarkStart w:id="34" w:name="_Toc212454753"/>
      <w:bookmarkStart w:id="35" w:name="_Toc235438297"/>
      <w:bookmarkStart w:id="36" w:name="_Toc212530253"/>
      <w:bookmarkStart w:id="37" w:name="_Toc177985424"/>
      <w:bookmarkStart w:id="38" w:name="_Toc259692693"/>
      <w:bookmarkStart w:id="39" w:name="_Toc169332904"/>
      <w:bookmarkStart w:id="40" w:name="_Toc169332794"/>
      <w:bookmarkStart w:id="41" w:name="_Toc266868624"/>
      <w:bookmarkStart w:id="42" w:name="_Toc207014580"/>
      <w:bookmarkStart w:id="43" w:name="_Toc160880487"/>
      <w:bookmarkStart w:id="44" w:name="_Toc266868924"/>
      <w:bookmarkStart w:id="45" w:name="_Toc249325665"/>
      <w:bookmarkStart w:id="46" w:name="_Toc219800200"/>
      <w:bookmarkStart w:id="47" w:name="_Toc267059633"/>
      <w:bookmarkStart w:id="48" w:name="_Toc236021402"/>
      <w:r>
        <w:rPr>
          <w:rFonts w:hint="eastAsia" w:ascii="仿宋" w:hAnsi="仿宋" w:eastAsia="仿宋" w:cs="仿宋"/>
          <w:b/>
          <w:color w:val="auto"/>
          <w:sz w:val="36"/>
          <w:szCs w:val="36"/>
          <w:lang w:val="en-US" w:eastAsia="zh-CN"/>
        </w:rPr>
        <w:t>广州大学松田学院关于安全堡垒机系统采购项目</w:t>
      </w:r>
    </w:p>
    <w:p>
      <w:pPr>
        <w:pStyle w:val="50"/>
        <w:spacing w:line="360" w:lineRule="auto"/>
        <w:ind w:firstLine="442" w:firstLineChars="100"/>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lang w:val="en-US" w:eastAsia="zh-CN"/>
        </w:rPr>
        <w:t>广州大学松田学院</w:t>
      </w:r>
      <w:r>
        <w:rPr>
          <w:rFonts w:ascii="仿宋" w:hAnsi="仿宋" w:eastAsia="仿宋"/>
          <w:color w:val="auto"/>
          <w:sz w:val="28"/>
          <w:szCs w:val="28"/>
        </w:rPr>
        <w:t>是教育部批准成立的全日制普通本科院校。</w:t>
      </w:r>
      <w:r>
        <w:rPr>
          <w:rFonts w:hint="eastAsia" w:ascii="仿宋" w:hAnsi="仿宋" w:eastAsia="仿宋"/>
          <w:color w:val="auto"/>
          <w:sz w:val="28"/>
          <w:szCs w:val="28"/>
        </w:rPr>
        <w:t>2004年经国家教育部批准，广州大学松田学院转设为具有独立法人资格的全日制普通本科高等院校（</w:t>
      </w:r>
      <w:r>
        <w:rPr>
          <w:rFonts w:hint="default" w:ascii="仿宋" w:hAnsi="仿宋" w:eastAsia="仿宋"/>
          <w:color w:val="auto"/>
          <w:sz w:val="28"/>
          <w:szCs w:val="28"/>
        </w:rPr>
        <w:fldChar w:fldCharType="begin"/>
      </w:r>
      <w:r>
        <w:rPr>
          <w:rFonts w:hint="default" w:ascii="仿宋" w:hAnsi="仿宋" w:eastAsia="仿宋"/>
          <w:color w:val="auto"/>
          <w:sz w:val="28"/>
          <w:szCs w:val="28"/>
        </w:rPr>
        <w:instrText xml:space="preserve"> HYPERLINK "https://baike.baidu.com/item/%E7%8B%AC%E7%AB%8B%E5%AD%A6%E9%99%A2" \t "https://baike.baidu.com/item/%E5%B9%BF%E5%B7%9E%E5%A4%A7%E5%AD%A6%E6%9D%BE%E7%94%B0%E5%AD%A6%E9%99%A2/_blank" </w:instrText>
      </w:r>
      <w:r>
        <w:rPr>
          <w:rFonts w:hint="default" w:ascii="仿宋" w:hAnsi="仿宋" w:eastAsia="仿宋"/>
          <w:color w:val="auto"/>
          <w:sz w:val="28"/>
          <w:szCs w:val="28"/>
        </w:rPr>
        <w:fldChar w:fldCharType="separate"/>
      </w:r>
      <w:r>
        <w:rPr>
          <w:rFonts w:hint="default" w:ascii="仿宋" w:hAnsi="仿宋" w:eastAsia="仿宋"/>
          <w:color w:val="auto"/>
          <w:sz w:val="28"/>
          <w:szCs w:val="28"/>
        </w:rPr>
        <w:t>独立学院</w:t>
      </w:r>
      <w:r>
        <w:rPr>
          <w:rFonts w:hint="default" w:ascii="仿宋" w:hAnsi="仿宋" w:eastAsia="仿宋"/>
          <w:color w:val="auto"/>
          <w:sz w:val="28"/>
          <w:szCs w:val="28"/>
        </w:rPr>
        <w:fldChar w:fldCharType="end"/>
      </w:r>
      <w:r>
        <w:rPr>
          <w:rFonts w:hint="default" w:ascii="仿宋" w:hAnsi="仿宋" w:eastAsia="仿宋"/>
          <w:color w:val="auto"/>
          <w:sz w:val="28"/>
          <w:szCs w:val="28"/>
        </w:rPr>
        <w:t>）。</w:t>
      </w:r>
      <w:r>
        <w:rPr>
          <w:rFonts w:hint="eastAsia" w:ascii="仿宋" w:hAnsi="仿宋" w:eastAsia="仿宋"/>
          <w:color w:val="auto"/>
          <w:sz w:val="28"/>
          <w:szCs w:val="28"/>
        </w:rPr>
        <w:t>2005年通过了教育部关于对独立学院办学条件和教学工作的专项检查。</w:t>
      </w:r>
      <w:r>
        <w:rPr>
          <w:rFonts w:ascii="仿宋" w:hAnsi="仿宋" w:eastAsia="仿宋"/>
          <w:color w:val="auto"/>
          <w:sz w:val="28"/>
          <w:szCs w:val="28"/>
        </w:rPr>
        <w:t>2011年通过教育部本科教学工作合格评估。</w:t>
      </w:r>
      <w:r>
        <w:rPr>
          <w:rFonts w:hint="eastAsia" w:ascii="仿宋" w:hAnsi="仿宋" w:eastAsia="仿宋"/>
          <w:color w:val="auto"/>
          <w:sz w:val="28"/>
          <w:szCs w:val="28"/>
        </w:rPr>
        <w:t>根据需要，对安全堡垒机系统采购</w:t>
      </w:r>
      <w:r>
        <w:rPr>
          <w:rFonts w:hint="eastAsia" w:ascii="仿宋" w:hAnsi="仿宋" w:eastAsia="仿宋"/>
          <w:color w:val="auto"/>
          <w:sz w:val="28"/>
          <w:szCs w:val="28"/>
          <w:lang w:val="en-US" w:eastAsia="zh-CN"/>
        </w:rPr>
        <w:t>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A-XJ2020-28</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项目名称：广州大学松田学院关于安全堡垒机系统采购项目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w:t>
      </w:r>
      <w:r>
        <w:rPr>
          <w:rFonts w:hint="eastAsia" w:ascii="仿宋" w:hAnsi="仿宋" w:eastAsia="仿宋"/>
          <w:color w:val="auto"/>
          <w:sz w:val="28"/>
          <w:szCs w:val="28"/>
          <w:lang w:val="en-US" w:eastAsia="zh-CN"/>
        </w:rPr>
        <w:t>项目介绍</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（1）参与人应具有独立法人资格，注册资金不少于人民币</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万（含</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报价响应文件递交方式：密封报价并邮寄。</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lang w:val="en-US" w:eastAsia="zh-CN"/>
        </w:rPr>
        <w:t>2020</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11</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9</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上午11点</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报价响应文件递交地点：广州市增城区朱村街朱村大道东432号广州大学松田学院资产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rPr>
        <w:t>020-82852717</w:t>
      </w:r>
    </w:p>
    <w:p>
      <w:pPr>
        <w:spacing w:after="0" w:line="500" w:lineRule="exact"/>
        <w:ind w:left="839"/>
        <w:rPr>
          <w:rFonts w:hint="eastAsia" w:ascii="仿宋" w:hAnsi="仿宋" w:eastAsia="仿宋"/>
          <w:color w:val="auto"/>
          <w:sz w:val="28"/>
          <w:szCs w:val="28"/>
          <w:u w:val="single"/>
        </w:rPr>
      </w:pPr>
      <w:r>
        <w:rPr>
          <w:rFonts w:hint="eastAsia" w:ascii="仿宋" w:hAnsi="仿宋" w:eastAsia="仿宋"/>
          <w:b/>
          <w:bCs/>
          <w:color w:val="auto"/>
          <w:sz w:val="28"/>
          <w:szCs w:val="28"/>
          <w:u w:val="none"/>
        </w:rPr>
        <w:t>本项目监督投诉电话</w:t>
      </w:r>
      <w:r>
        <w:rPr>
          <w:rFonts w:hint="eastAsia" w:ascii="仿宋" w:hAnsi="仿宋" w:eastAsia="仿宋"/>
          <w:b/>
          <w:bCs/>
          <w:color w:val="auto"/>
          <w:sz w:val="28"/>
          <w:szCs w:val="28"/>
          <w:u w:val="none"/>
          <w:lang w:eastAsia="zh-CN"/>
        </w:rPr>
        <w:t>：</w:t>
      </w:r>
      <w:r>
        <w:rPr>
          <w:rFonts w:hint="eastAsia" w:ascii="仿宋" w:hAnsi="仿宋" w:eastAsia="仿宋"/>
          <w:b/>
          <w:bCs/>
          <w:color w:val="auto"/>
          <w:sz w:val="28"/>
          <w:szCs w:val="28"/>
          <w:u w:val="none"/>
        </w:rPr>
        <w:t>门树亮 13133833090</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numPr>
          <w:ilvl w:val="0"/>
          <w:numId w:val="2"/>
        </w:numPr>
        <w:spacing w:line="420" w:lineRule="exact"/>
        <w:jc w:val="center"/>
        <w:rPr>
          <w:rFonts w:hint="eastAsia" w:ascii="仿宋" w:hAnsi="仿宋" w:eastAsia="仿宋"/>
          <w:b/>
          <w:color w:val="auto"/>
          <w:sz w:val="44"/>
          <w:szCs w:val="44"/>
        </w:rPr>
      </w:pPr>
      <w:r>
        <w:rPr>
          <w:rFonts w:hint="eastAsia" w:ascii="仿宋" w:hAnsi="仿宋" w:eastAsia="仿宋"/>
          <w:b/>
          <w:color w:val="auto"/>
          <w:sz w:val="44"/>
          <w:szCs w:val="44"/>
        </w:rPr>
        <w:t>公开询价项目介绍</w:t>
      </w:r>
      <w:bookmarkEnd w:id="49"/>
    </w:p>
    <w:p>
      <w:pPr>
        <w:numPr>
          <w:ilvl w:val="0"/>
          <w:numId w:val="0"/>
        </w:numPr>
        <w:spacing w:line="420" w:lineRule="exact"/>
        <w:jc w:val="right"/>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8754" w:type="dxa"/>
        <w:tblInd w:w="557" w:type="dxa"/>
        <w:tblLayout w:type="fixed"/>
        <w:tblCellMar>
          <w:top w:w="0" w:type="dxa"/>
          <w:left w:w="108" w:type="dxa"/>
          <w:bottom w:w="0" w:type="dxa"/>
          <w:right w:w="108" w:type="dxa"/>
        </w:tblCellMar>
      </w:tblPr>
      <w:tblGrid>
        <w:gridCol w:w="1609"/>
        <w:gridCol w:w="7145"/>
      </w:tblGrid>
      <w:tr>
        <w:tblPrEx>
          <w:tblCellMar>
            <w:top w:w="0" w:type="dxa"/>
            <w:left w:w="108" w:type="dxa"/>
            <w:bottom w:w="0" w:type="dxa"/>
            <w:right w:w="108" w:type="dxa"/>
          </w:tblCellMar>
        </w:tblPrEx>
        <w:trPr>
          <w:trHeight w:val="121" w:hRule="atLeast"/>
        </w:trPr>
        <w:tc>
          <w:tcPr>
            <w:tcW w:w="8754"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720"/>
              <w:jc w:val="center"/>
              <w:textAlignment w:val="auto"/>
              <w:rPr>
                <w:rFonts w:hint="eastAsia" w:ascii="仿宋" w:hAnsi="仿宋" w:eastAsia="仿宋" w:cs="仿宋"/>
                <w:color w:val="000000"/>
                <w:sz w:val="21"/>
                <w:szCs w:val="21"/>
              </w:rPr>
            </w:pPr>
            <w:r>
              <w:rPr>
                <w:rFonts w:hint="eastAsia" w:ascii="仿宋" w:hAnsi="仿宋" w:eastAsia="仿宋" w:cs="仿宋"/>
                <w:sz w:val="28"/>
                <w:szCs w:val="28"/>
                <w:lang w:val="en-US" w:eastAsia="zh-CN"/>
              </w:rPr>
              <w:t>安全堡垒机</w:t>
            </w:r>
            <w:r>
              <w:rPr>
                <w:rFonts w:hint="eastAsia" w:ascii="仿宋" w:hAnsi="仿宋" w:eastAsia="仿宋" w:cs="仿宋"/>
                <w:sz w:val="28"/>
                <w:szCs w:val="28"/>
              </w:rPr>
              <w:t>参数需求</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产品结构</w:t>
            </w:r>
          </w:p>
        </w:tc>
        <w:tc>
          <w:tcPr>
            <w:tcW w:w="7145" w:type="dxa"/>
            <w:tcBorders>
              <w:top w:val="single" w:color="auto" w:sz="4" w:space="0"/>
              <w:left w:val="nil"/>
              <w:bottom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采用标准机架式硬件平台，采用冗余电源</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部署方式</w:t>
            </w:r>
          </w:p>
        </w:tc>
        <w:tc>
          <w:tcPr>
            <w:tcW w:w="7145" w:type="dxa"/>
            <w:tcBorders>
              <w:top w:val="single" w:color="auto" w:sz="4" w:space="0"/>
              <w:left w:val="nil"/>
              <w:bottom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支持旁路接入部署</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存储</w:t>
            </w:r>
          </w:p>
        </w:tc>
        <w:tc>
          <w:tcPr>
            <w:tcW w:w="7145" w:type="dxa"/>
            <w:tcBorders>
              <w:top w:val="single" w:color="auto" w:sz="4" w:space="0"/>
              <w:left w:val="nil"/>
              <w:bottom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至少4TB</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接口</w:t>
            </w:r>
          </w:p>
        </w:tc>
        <w:tc>
          <w:tcPr>
            <w:tcW w:w="7145" w:type="dxa"/>
            <w:tcBorders>
              <w:top w:val="single" w:color="auto" w:sz="4" w:space="0"/>
              <w:left w:val="nil"/>
              <w:bottom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至少4个10/100/1000自适应电口，1个扩展网络接口槽</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性能</w:t>
            </w:r>
          </w:p>
        </w:tc>
        <w:tc>
          <w:tcPr>
            <w:tcW w:w="7145"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图形会话≥150路，字符命令行会话并发≥300路</w:t>
            </w:r>
          </w:p>
        </w:tc>
      </w:tr>
      <w:tr>
        <w:tblPrEx>
          <w:tblCellMar>
            <w:top w:w="0" w:type="dxa"/>
            <w:left w:w="108" w:type="dxa"/>
            <w:bottom w:w="0" w:type="dxa"/>
            <w:right w:w="108" w:type="dxa"/>
          </w:tblCellMar>
        </w:tblPrEx>
        <w:trPr>
          <w:trHeight w:val="90"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协议支持</w:t>
            </w:r>
          </w:p>
        </w:tc>
        <w:tc>
          <w:tcPr>
            <w:tcW w:w="7145" w:type="dxa"/>
            <w:tcBorders>
              <w:top w:val="single" w:color="auto" w:sz="4" w:space="0"/>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支持IPv6网络环境下的运维、操作审计</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产品维保</w:t>
            </w:r>
          </w:p>
        </w:tc>
        <w:tc>
          <w:tcPr>
            <w:tcW w:w="7145" w:type="dxa"/>
            <w:tcBorders>
              <w:top w:val="single" w:color="auto" w:sz="4" w:space="0"/>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提供</w:t>
            </w:r>
            <w:r>
              <w:rPr>
                <w:rFonts w:hint="eastAsia" w:ascii="仿宋" w:hAnsi="仿宋" w:eastAsia="仿宋" w:cs="仿宋"/>
                <w:color w:val="000000"/>
                <w:sz w:val="21"/>
                <w:szCs w:val="21"/>
                <w:lang w:val="en-US" w:eastAsia="zh-CN"/>
              </w:rPr>
              <w:t>不少于</w:t>
            </w:r>
            <w:r>
              <w:rPr>
                <w:rFonts w:hint="eastAsia" w:ascii="仿宋" w:hAnsi="仿宋" w:eastAsia="仿宋" w:cs="仿宋"/>
                <w:color w:val="000000"/>
                <w:sz w:val="21"/>
                <w:szCs w:val="21"/>
              </w:rPr>
              <w:t>三年硬件维保及软件升级服务</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授权</w:t>
            </w:r>
          </w:p>
        </w:tc>
        <w:tc>
          <w:tcPr>
            <w:tcW w:w="7145" w:type="dxa"/>
            <w:tcBorders>
              <w:top w:val="single" w:color="auto" w:sz="4" w:space="0"/>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提供100授权</w:t>
            </w:r>
          </w:p>
        </w:tc>
      </w:tr>
      <w:tr>
        <w:tblPrEx>
          <w:tblCellMar>
            <w:top w:w="0" w:type="dxa"/>
            <w:left w:w="108" w:type="dxa"/>
            <w:bottom w:w="0" w:type="dxa"/>
            <w:right w:w="108" w:type="dxa"/>
          </w:tblCellMar>
        </w:tblPrEx>
        <w:trPr>
          <w:trHeight w:val="532" w:hRule="atLeast"/>
        </w:trPr>
        <w:tc>
          <w:tcPr>
            <w:tcW w:w="1609" w:type="dxa"/>
            <w:vMerge w:val="restart"/>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基础功能</w:t>
            </w:r>
          </w:p>
        </w:tc>
        <w:tc>
          <w:tcPr>
            <w:tcW w:w="7145" w:type="dxa"/>
            <w:tcBorders>
              <w:top w:val="nil"/>
              <w:left w:val="nil"/>
              <w:bottom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支持SSH、RDP、VNC、Telnet、FTP、SCP、SFTP、DB2、MySQL、Oracle、SQL Server、Rlogin等协议</w:t>
            </w:r>
          </w:p>
        </w:tc>
      </w:tr>
      <w:tr>
        <w:tblPrEx>
          <w:tblCellMar>
            <w:top w:w="0" w:type="dxa"/>
            <w:left w:w="108" w:type="dxa"/>
            <w:bottom w:w="0" w:type="dxa"/>
            <w:right w:w="108" w:type="dxa"/>
          </w:tblCellMar>
        </w:tblPrEx>
        <w:trPr>
          <w:trHeight w:val="532"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支持Linux/Unix、Windows、H3C、Huawei、Cisco等系统</w:t>
            </w:r>
          </w:p>
        </w:tc>
      </w:tr>
      <w:tr>
        <w:tblPrEx>
          <w:tblCellMar>
            <w:top w:w="0" w:type="dxa"/>
            <w:left w:w="108" w:type="dxa"/>
            <w:bottom w:w="0" w:type="dxa"/>
            <w:right w:w="108" w:type="dxa"/>
          </w:tblCellMar>
        </w:tblPrEx>
        <w:trPr>
          <w:trHeight w:val="407"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可通过应用发布实现对MySQL、SQL Server、Oracle、IE、Firefox、Chrome、VNC Client、SecBrowser、VSphere Client、Radmin、dbisql等应用程序/客户端的扩展支持，且图形界面支持分辨率设置</w:t>
            </w:r>
          </w:p>
        </w:tc>
      </w:tr>
      <w:tr>
        <w:tblPrEx>
          <w:tblCellMar>
            <w:top w:w="0" w:type="dxa"/>
            <w:left w:w="108" w:type="dxa"/>
            <w:bottom w:w="0" w:type="dxa"/>
            <w:right w:w="108" w:type="dxa"/>
          </w:tblCellMar>
        </w:tblPrEx>
        <w:trPr>
          <w:trHeight w:val="407"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支持按IP范围、端口进行资源设备自动发现，实现快速批量添加资源设备</w:t>
            </w:r>
          </w:p>
        </w:tc>
      </w:tr>
      <w:tr>
        <w:tblPrEx>
          <w:tblCellMar>
            <w:top w:w="0" w:type="dxa"/>
            <w:left w:w="108" w:type="dxa"/>
            <w:bottom w:w="0" w:type="dxa"/>
            <w:right w:w="108" w:type="dxa"/>
          </w:tblCellMar>
        </w:tblPrEx>
        <w:trPr>
          <w:trHeight w:val="121"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single" w:color="auto" w:sz="4" w:space="0"/>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不限操作客户端系统类型，无需安装任何客户端插件，使用H5即可直接运维windows、Linux、网络设备等资源</w:t>
            </w:r>
          </w:p>
        </w:tc>
      </w:tr>
      <w:tr>
        <w:tblPrEx>
          <w:tblCellMar>
            <w:top w:w="0" w:type="dxa"/>
            <w:left w:w="108" w:type="dxa"/>
            <w:bottom w:w="0" w:type="dxa"/>
            <w:right w:w="108" w:type="dxa"/>
          </w:tblCellMar>
        </w:tblPrEx>
        <w:trPr>
          <w:trHeight w:val="121"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single" w:color="auto" w:sz="4" w:space="0"/>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通过群发命令、预置命令，实现同时运维多台资源设备</w:t>
            </w:r>
          </w:p>
        </w:tc>
      </w:tr>
      <w:tr>
        <w:tblPrEx>
          <w:tblCellMar>
            <w:top w:w="0" w:type="dxa"/>
            <w:left w:w="108" w:type="dxa"/>
            <w:bottom w:w="0" w:type="dxa"/>
            <w:right w:w="108" w:type="dxa"/>
          </w:tblCellMar>
        </w:tblPrEx>
        <w:trPr>
          <w:trHeight w:val="121"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支持按IP黑白名单、访问时间段限制用户在堡垒机上运维资源</w:t>
            </w:r>
          </w:p>
        </w:tc>
      </w:tr>
      <w:tr>
        <w:tblPrEx>
          <w:tblCellMar>
            <w:top w:w="0" w:type="dxa"/>
            <w:left w:w="108" w:type="dxa"/>
            <w:bottom w:w="0" w:type="dxa"/>
            <w:right w:w="108" w:type="dxa"/>
          </w:tblCellMar>
        </w:tblPrEx>
        <w:trPr>
          <w:trHeight w:val="121"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支持用户的IP地址和MAC地址限制（黑名单或白名单），限制非法地址无法登陆堡垒机</w:t>
            </w:r>
          </w:p>
        </w:tc>
      </w:tr>
      <w:tr>
        <w:tblPrEx>
          <w:tblCellMar>
            <w:top w:w="0" w:type="dxa"/>
            <w:left w:w="108" w:type="dxa"/>
            <w:bottom w:w="0" w:type="dxa"/>
            <w:right w:w="108" w:type="dxa"/>
          </w:tblCellMar>
        </w:tblPrEx>
        <w:trPr>
          <w:trHeight w:val="121" w:hRule="atLeast"/>
        </w:trPr>
        <w:tc>
          <w:tcPr>
            <w:tcW w:w="1609" w:type="dxa"/>
            <w:vMerge w:val="continue"/>
            <w:tcBorders>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支持按功能模块自定义角色权限，便于管理，用于复杂的业务场景需求</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部门管理</w:t>
            </w:r>
          </w:p>
        </w:tc>
        <w:tc>
          <w:tcPr>
            <w:tcW w:w="7145" w:type="dxa"/>
            <w:tcBorders>
              <w:top w:val="single" w:color="auto" w:sz="4" w:space="0"/>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支持分权管理，管理权限分为用户、资源、策略和审计数据</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single" w:color="auto" w:sz="4" w:space="0"/>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支持多级部门设置功能，灵活划分可管理的用户和资源的范围，实现通过部门分组管理</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访问和命令控制</w:t>
            </w: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支持按用户组和账户组多对多的资源访问授权，用户组和账户组内的新增成员可自动继承授权关系</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支持按用户、用户组、账户、账户组、操作命令、命令集、有效期、生效时段等条件，细粒度地设置操作黑白名单</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预置Linux主机和网络设备的基本命令，支持正则表达式和通配符方式设置匹配规则，自定义命令黑白名单</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支持对MySQL和Oracle数据库的访问操作控制</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自动运维</w:t>
            </w: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支持从Linux服务器推拉账户，实现堡垒机与资源服务器的账户同步</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支持在页面上批量执行命令和脚本，实时查看命令和脚本的输出结果，实现快速运维</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支持批量执行命令和脚本时，能够实时查看命令和脚本的输出，支持批量传输文件时，可以实时查看传输进度</w:t>
            </w:r>
          </w:p>
        </w:tc>
      </w:tr>
      <w:tr>
        <w:tblPrEx>
          <w:tblCellMar>
            <w:top w:w="0" w:type="dxa"/>
            <w:left w:w="108" w:type="dxa"/>
            <w:bottom w:w="0" w:type="dxa"/>
            <w:right w:w="108" w:type="dxa"/>
          </w:tblCellMar>
        </w:tblPrEx>
        <w:trPr>
          <w:trHeight w:val="364" w:hRule="atLeast"/>
        </w:trPr>
        <w:tc>
          <w:tcPr>
            <w:tcW w:w="1609" w:type="dxa"/>
            <w:vMerge w:val="restart"/>
            <w:tcBorders>
              <w:top w:val="single" w:color="auto" w:sz="4" w:space="0"/>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操作记录</w:t>
            </w: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支持记录用户登录资源的操作行为，包含：资源名称、协议类型、主机或应用地址、资源账户、起止时间、会话时长、操作用户、来源IP、操作记录、文件传输记录、会话协同记录、以及会话结束状态的审计</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支持对字符操作命令进行精准识别</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支持对数据库操作的SQL语句进行精准识别</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支持用户水印功能，避免数据泄露无法追责</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支持对文件传输协议FTP、SFTP的审计，详细记录文件传输操作</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系统内置多种运维、系统报表模板，支持按日、周、月为周期，自动生成Word、HTML、Excel和PDF格式的报表</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支持以图形、字符方式双重审计，完整详细还原操作记录</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支持数据库命令级审计，数据库支持类型包括：DB2、MySQL、Oracle、SQL Server等</w:t>
            </w:r>
          </w:p>
        </w:tc>
      </w:tr>
      <w:tr>
        <w:tblPrEx>
          <w:tblCellMar>
            <w:top w:w="0" w:type="dxa"/>
            <w:left w:w="108" w:type="dxa"/>
            <w:bottom w:w="0" w:type="dxa"/>
            <w:right w:w="108" w:type="dxa"/>
          </w:tblCellMar>
        </w:tblPrEx>
        <w:trPr>
          <w:trHeight w:val="243" w:hRule="atLeast"/>
        </w:trPr>
        <w:tc>
          <w:tcPr>
            <w:tcW w:w="1609" w:type="dxa"/>
            <w:vMerge w:val="continue"/>
            <w:tcBorders>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支持基于数据库代理的命令级审计和基于应用发布的图形审计的双重审计效果，命令级审计便于重现真实的完整操作命令，图形审计便于直观的查看到真实的操作行为</w:t>
            </w:r>
          </w:p>
        </w:tc>
      </w:tr>
      <w:tr>
        <w:tblPrEx>
          <w:tblCellMar>
            <w:top w:w="0" w:type="dxa"/>
            <w:left w:w="108" w:type="dxa"/>
            <w:bottom w:w="0" w:type="dxa"/>
            <w:right w:w="108" w:type="dxa"/>
          </w:tblCellMar>
        </w:tblPrEx>
        <w:trPr>
          <w:trHeight w:val="243" w:hRule="atLeast"/>
        </w:trPr>
        <w:tc>
          <w:tcPr>
            <w:tcW w:w="1609" w:type="dxa"/>
            <w:vMerge w:val="continue"/>
            <w:tcBorders>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支持以图形、字符方式双重审计，完整详细还原操作记录</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会话回放</w:t>
            </w: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支持从命令符定位到用户的操作过程</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支持在线回放操作过程，并可以对播放速度进行调整、拖动、暂停、停止、跳过空闲、重新播放等操作</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支持离线回放运维人员对资源的操作过程，同时回放文件可下载到本地播放 </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支持文本审计的内容为关键字进行图形搜索，同时结果可直接定位到相关图形画面进行回放</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支持Web页面播放审计会话时，可快速切换其他资源历史会话</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改密计划</w:t>
            </w: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支持以账户、账户组、时间、改密周期、改密方式生成详细的改密计划，到期自动执行</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支持修改数据库账户的密码，包括MySQL、Oracle、SQL Server（提供截图证明并加盖公章）</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实时监控</w:t>
            </w: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支持对当前会话进行无延时的实时监控和切断</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系统公告</w:t>
            </w: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通过系统公告对所有用户发送消息通知</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系统设置</w:t>
            </w: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支持根据不同的角色权限展示桌面</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支持用户、主机、应用、应用服务器、告警数量的统计</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支持最近登录主机和应用的展示，并提供从桌面登录资源的功能</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支持登录失败次数锁死设置，可配置解锁时长，到期自动解锁，也可以手动解锁</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支持异步操作任务，支持实时查看任务进度，支持终止任务</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支持自定义系统事件的告警等级及方式，例如邮件、手机短信通知及Syslog日志外发</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支持修改系统自身对外提供服务的默认端口</w:t>
            </w:r>
          </w:p>
        </w:tc>
      </w:tr>
      <w:tr>
        <w:tblPrEx>
          <w:tblCellMar>
            <w:top w:w="0" w:type="dxa"/>
            <w:left w:w="108" w:type="dxa"/>
            <w:bottom w:w="0" w:type="dxa"/>
            <w:right w:w="108" w:type="dxa"/>
          </w:tblCellMar>
        </w:tblPrEx>
        <w:trPr>
          <w:trHeight w:val="248" w:hRule="atLeast"/>
        </w:trPr>
        <w:tc>
          <w:tcPr>
            <w:tcW w:w="1609" w:type="dxa"/>
            <w:tcBorders>
              <w:top w:val="single" w:color="auto" w:sz="4" w:space="0"/>
              <w:left w:val="single" w:color="auto" w:sz="4" w:space="0"/>
              <w:right w:val="single" w:color="auto" w:sz="4" w:space="0"/>
            </w:tcBorders>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资质</w:t>
            </w:r>
          </w:p>
        </w:tc>
        <w:tc>
          <w:tcPr>
            <w:tcW w:w="7145" w:type="dxa"/>
            <w:tcBorders>
              <w:top w:val="single" w:color="auto" w:sz="4" w:space="0"/>
              <w:left w:val="nil"/>
              <w:bottom w:val="single" w:color="auto" w:sz="4" w:space="0"/>
              <w:right w:val="single" w:color="auto" w:sz="4" w:space="0"/>
            </w:tcBorders>
          </w:tcPr>
          <w:p>
            <w:pPr>
              <w:pStyle w:val="3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sz w:val="21"/>
                <w:szCs w:val="21"/>
              </w:rPr>
              <w:t>需具备计算机信息系统安全</w:t>
            </w:r>
            <w:r>
              <w:rPr>
                <w:rFonts w:hint="eastAsia" w:ascii="仿宋" w:hAnsi="仿宋" w:eastAsia="仿宋" w:cs="仿宋"/>
                <w:color w:val="000000"/>
                <w:sz w:val="21"/>
                <w:szCs w:val="21"/>
                <w:lang w:val="en-US" w:eastAsia="zh-CN"/>
              </w:rPr>
              <w:t>运维等方面相关资质</w:t>
            </w:r>
          </w:p>
        </w:tc>
      </w:tr>
    </w:tbl>
    <w:p>
      <w:pPr>
        <w:rPr>
          <w:rFonts w:ascii="仿宋" w:hAnsi="仿宋" w:eastAsia="仿宋"/>
          <w:b/>
          <w:color w:val="FF0000"/>
          <w:sz w:val="36"/>
          <w:szCs w:val="36"/>
        </w:rPr>
        <w:sectPr>
          <w:headerReference r:id="rId5" w:type="first"/>
          <w:pgSz w:w="11906" w:h="16838"/>
          <w:pgMar w:top="1440" w:right="1416" w:bottom="1440" w:left="1134" w:header="851" w:footer="227" w:gutter="0"/>
          <w:cols w:space="425" w:num="1"/>
          <w:titlePg/>
          <w:docGrid w:type="lines" w:linePitch="312" w:charSpace="0"/>
        </w:sectPr>
      </w:pPr>
    </w:p>
    <w:p>
      <w:pPr>
        <w:spacing w:line="380" w:lineRule="exact"/>
        <w:ind w:firstLine="280" w:firstLineChars="100"/>
        <w:rPr>
          <w:rFonts w:ascii="仿宋" w:hAnsi="仿宋" w:eastAsia="仿宋"/>
          <w:sz w:val="28"/>
          <w:szCs w:val="28"/>
        </w:rPr>
      </w:pPr>
      <w:r>
        <w:rPr>
          <w:rFonts w:ascii="仿宋" w:hAnsi="仿宋" w:eastAsia="仿宋"/>
          <w:sz w:val="28"/>
          <w:szCs w:val="28"/>
        </w:rPr>
        <w:t>注：</w:t>
      </w:r>
      <w:r>
        <w:rPr>
          <w:rFonts w:hint="eastAsia" w:ascii="仿宋" w:hAnsi="仿宋" w:eastAsia="仿宋"/>
          <w:sz w:val="28"/>
          <w:szCs w:val="28"/>
          <w:lang w:val="en-US" w:eastAsia="zh-CN"/>
        </w:rPr>
        <w:t>1.</w:t>
      </w:r>
      <w:r>
        <w:rPr>
          <w:rFonts w:ascii="仿宋" w:hAnsi="仿宋" w:eastAsia="仿宋"/>
          <w:sz w:val="28"/>
          <w:szCs w:val="28"/>
        </w:rPr>
        <w:t>如果按单价计算的结果与总价不一致,以单价为准修正总价。</w:t>
      </w:r>
    </w:p>
    <w:p>
      <w:pPr>
        <w:numPr>
          <w:ilvl w:val="0"/>
          <w:numId w:val="0"/>
        </w:numPr>
        <w:spacing w:line="380" w:lineRule="exact"/>
        <w:ind w:firstLine="840" w:firstLineChars="3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numPr>
          <w:ilvl w:val="0"/>
          <w:numId w:val="0"/>
        </w:numPr>
        <w:spacing w:line="38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3.以上报价包含税费、运费、安装费等一切费用，卖方需开具足额的增值税普通发票。</w:t>
      </w:r>
    </w:p>
    <w:p>
      <w:pPr>
        <w:numPr>
          <w:ilvl w:val="0"/>
          <w:numId w:val="0"/>
        </w:numPr>
        <w:spacing w:line="38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4.报价须提供详细参数和具体品牌，否则将视为没有实质性响应公开询价文件。</w:t>
      </w:r>
    </w:p>
    <w:p>
      <w:pPr>
        <w:numPr>
          <w:ilvl w:val="0"/>
          <w:numId w:val="0"/>
        </w:numPr>
        <w:spacing w:line="380" w:lineRule="exact"/>
        <w:ind w:firstLine="840" w:firstLineChars="300"/>
        <w:rPr>
          <w:rFonts w:hint="eastAsia" w:ascii="仿宋" w:hAnsi="仿宋" w:eastAsia="仿宋"/>
          <w:sz w:val="28"/>
          <w:szCs w:val="28"/>
          <w:lang w:val="en-US" w:eastAsia="zh-CN"/>
        </w:rPr>
      </w:pPr>
    </w:p>
    <w:p>
      <w:pPr>
        <w:numPr>
          <w:ilvl w:val="0"/>
          <w:numId w:val="0"/>
        </w:numPr>
        <w:spacing w:line="380" w:lineRule="exact"/>
        <w:ind w:firstLine="840" w:firstLineChars="300"/>
        <w:rPr>
          <w:rFonts w:hint="eastAsia" w:ascii="仿宋" w:hAnsi="仿宋" w:eastAsia="仿宋"/>
          <w:sz w:val="28"/>
          <w:szCs w:val="28"/>
          <w:lang w:val="en-US" w:eastAsia="zh-CN"/>
        </w:rPr>
      </w:pPr>
    </w:p>
    <w:p>
      <w:pPr>
        <w:numPr>
          <w:ilvl w:val="0"/>
          <w:numId w:val="0"/>
        </w:numPr>
        <w:spacing w:line="380" w:lineRule="exact"/>
        <w:ind w:firstLine="840" w:firstLineChars="300"/>
        <w:rPr>
          <w:rFonts w:hint="eastAsia" w:ascii="仿宋" w:hAnsi="仿宋" w:eastAsia="仿宋"/>
          <w:sz w:val="28"/>
          <w:szCs w:val="28"/>
          <w:lang w:val="en-US" w:eastAsia="zh-CN"/>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广州大学松田学院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关于安全堡垒机系统</w:t>
      </w:r>
      <w:r>
        <w:rPr>
          <w:rFonts w:hint="eastAsia" w:ascii="仿宋" w:hAnsi="仿宋" w:eastAsia="仿宋"/>
          <w:b/>
          <w:color w:val="auto"/>
          <w:sz w:val="44"/>
          <w:szCs w:val="44"/>
          <w:lang w:val="en-US" w:eastAsia="zh-CN"/>
        </w:rPr>
        <w:t>采购</w:t>
      </w:r>
      <w:r>
        <w:rPr>
          <w:rFonts w:hint="eastAsia" w:ascii="仿宋" w:hAnsi="仿宋" w:eastAsia="仿宋"/>
          <w:b/>
          <w:color w:val="auto"/>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both"/>
        <w:outlineLvl w:val="1"/>
        <w:rPr>
          <w:rFonts w:hint="eastAsia" w:ascii="仿宋" w:hAnsi="仿宋" w:eastAsia="仿宋"/>
          <w:b/>
          <w:bCs/>
          <w:sz w:val="28"/>
          <w:szCs w:val="28"/>
        </w:rPr>
      </w:pPr>
      <w:bookmarkStart w:id="50" w:name="_Toc249325711"/>
      <w:bookmarkStart w:id="51" w:name="_Toc266868670"/>
      <w:bookmarkStart w:id="52" w:name="_Toc192663686"/>
      <w:bookmarkStart w:id="53" w:name="_Toc251613829"/>
      <w:bookmarkStart w:id="54" w:name="_Toc267060068"/>
      <w:bookmarkStart w:id="55" w:name="_Toc267059539"/>
      <w:bookmarkStart w:id="56" w:name="_Toc251586231"/>
      <w:bookmarkStart w:id="57" w:name="_Toc258401256"/>
      <w:bookmarkStart w:id="58" w:name="_Toc235437991"/>
      <w:bookmarkStart w:id="59" w:name="_Toc267060321"/>
      <w:bookmarkStart w:id="60" w:name="_Toc235438274"/>
      <w:bookmarkStart w:id="61" w:name="_Toc236021449"/>
      <w:bookmarkStart w:id="62" w:name="_Toc267059919"/>
      <w:bookmarkStart w:id="63" w:name="_Toc259520865"/>
      <w:bookmarkStart w:id="64" w:name="_Toc273178698"/>
      <w:bookmarkStart w:id="65" w:name="_Toc211917116"/>
      <w:bookmarkStart w:id="66" w:name="_Toc213755939"/>
      <w:bookmarkStart w:id="67" w:name="_Toc267059030"/>
      <w:bookmarkStart w:id="68" w:name="_Toc255975007"/>
      <w:bookmarkStart w:id="69" w:name="_Toc191802690"/>
      <w:bookmarkStart w:id="70" w:name="_Toc191789329"/>
      <w:bookmarkStart w:id="71" w:name="_Toc235438344"/>
      <w:bookmarkStart w:id="72" w:name="_Toc230071147"/>
      <w:bookmarkStart w:id="73" w:name="_Toc227058530"/>
      <w:bookmarkStart w:id="74" w:name="_Toc170798793"/>
      <w:bookmarkStart w:id="75" w:name="_Toc267059806"/>
      <w:bookmarkStart w:id="76" w:name="_Toc181436461"/>
      <w:bookmarkStart w:id="77" w:name="_Toc181436565"/>
      <w:bookmarkStart w:id="78" w:name="_Toc267059181"/>
      <w:bookmarkStart w:id="79" w:name="_Toc223146608"/>
      <w:bookmarkStart w:id="80" w:name="_Toc203355733"/>
      <w:bookmarkStart w:id="81" w:name="_Toc160880529"/>
      <w:bookmarkStart w:id="82" w:name="_Toc253066614"/>
      <w:bookmarkStart w:id="83" w:name="_Toc192996446"/>
      <w:bookmarkStart w:id="84" w:name="_Toc213755995"/>
      <w:bookmarkStart w:id="85" w:name="_Toc232302115"/>
      <w:bookmarkStart w:id="86" w:name="_Toc266870833"/>
      <w:bookmarkStart w:id="87" w:name="_Toc266870907"/>
      <w:bookmarkStart w:id="88" w:name="_Toc213756051"/>
      <w:bookmarkStart w:id="89" w:name="_Toc219800243"/>
      <w:bookmarkStart w:id="90" w:name="_Toc182805217"/>
      <w:bookmarkStart w:id="91" w:name="_Toc169332838"/>
      <w:bookmarkStart w:id="92" w:name="_Toc192996338"/>
      <w:bookmarkStart w:id="93" w:name="_Toc267059653"/>
      <w:bookmarkStart w:id="94" w:name="_Toc259692740"/>
      <w:bookmarkStart w:id="95" w:name="_Toc267060208"/>
      <w:bookmarkStart w:id="96" w:name="_Toc169332949"/>
      <w:bookmarkStart w:id="97" w:name="_Toc160880160"/>
      <w:bookmarkStart w:id="98" w:name="_Toc254790899"/>
      <w:bookmarkStart w:id="99" w:name="_Toc267060453"/>
      <w:bookmarkStart w:id="100" w:name="_Toc266870432"/>
      <w:bookmarkStart w:id="101" w:name="_Toc182372782"/>
      <w:bookmarkStart w:id="102" w:name="_Toc177985469"/>
      <w:bookmarkStart w:id="103" w:name="_Toc191803626"/>
      <w:bookmarkStart w:id="104" w:name="_Toc192664153"/>
      <w:bookmarkStart w:id="105" w:name="_Toc193165734"/>
      <w:bookmarkStart w:id="106" w:name="_Toc193160448"/>
      <w:bookmarkStart w:id="107" w:name="_Toc266868937"/>
      <w:bookmarkStart w:id="108" w:name="_Toc217891402"/>
      <w:bookmarkStart w:id="109" w:name="_Toc259692647"/>
      <w:bookmarkStart w:id="110" w:name="_Toc191783222"/>
      <w:bookmarkStart w:id="111" w:name="_Toc213755858"/>
      <w:bookmarkStart w:id="112" w:name="_Toc213208766"/>
      <w:bookmarkStart w:id="113" w:name="_Toc192663835"/>
      <w:bookmarkStart w:id="114" w:name="_Toc225669322"/>
      <w:bookmarkStart w:id="115" w:name="_Toc180302913"/>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广州大学松田学院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5"/>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3"/>
        <w:tblW w:w="8754" w:type="dxa"/>
        <w:tblInd w:w="557" w:type="dxa"/>
        <w:tblLayout w:type="fixed"/>
        <w:tblCellMar>
          <w:top w:w="0" w:type="dxa"/>
          <w:left w:w="108" w:type="dxa"/>
          <w:bottom w:w="0" w:type="dxa"/>
          <w:right w:w="108" w:type="dxa"/>
        </w:tblCellMar>
      </w:tblPr>
      <w:tblGrid>
        <w:gridCol w:w="1609"/>
        <w:gridCol w:w="7145"/>
      </w:tblGrid>
      <w:tr>
        <w:tblPrEx>
          <w:tblCellMar>
            <w:top w:w="0" w:type="dxa"/>
            <w:left w:w="108" w:type="dxa"/>
            <w:bottom w:w="0" w:type="dxa"/>
            <w:right w:w="108" w:type="dxa"/>
          </w:tblCellMar>
        </w:tblPrEx>
        <w:trPr>
          <w:trHeight w:val="121" w:hRule="atLeast"/>
        </w:trPr>
        <w:tc>
          <w:tcPr>
            <w:tcW w:w="8754" w:type="dxa"/>
            <w:gridSpan w:val="2"/>
            <w:tcBorders>
              <w:top w:val="single" w:color="auto" w:sz="4" w:space="0"/>
              <w:left w:val="single" w:color="auto" w:sz="4" w:space="0"/>
              <w:right w:val="single" w:color="auto" w:sz="4" w:space="0"/>
            </w:tcBorders>
          </w:tcPr>
          <w:p>
            <w:pPr>
              <w:ind w:firstLine="720"/>
              <w:jc w:val="center"/>
              <w:rPr>
                <w:rFonts w:hint="eastAsia" w:ascii="仿宋" w:hAnsi="仿宋" w:eastAsia="仿宋" w:cs="仿宋"/>
                <w:color w:val="000000"/>
                <w:sz w:val="21"/>
                <w:szCs w:val="21"/>
              </w:rPr>
            </w:pPr>
            <w:r>
              <w:rPr>
                <w:rFonts w:hint="eastAsia" w:ascii="仿宋" w:hAnsi="仿宋" w:eastAsia="仿宋" w:cs="仿宋"/>
                <w:sz w:val="36"/>
                <w:szCs w:val="36"/>
                <w:lang w:val="en-US" w:eastAsia="zh-CN"/>
              </w:rPr>
              <w:t>安全堡垒机</w:t>
            </w:r>
            <w:r>
              <w:rPr>
                <w:rFonts w:hint="eastAsia" w:ascii="仿宋" w:hAnsi="仿宋" w:eastAsia="仿宋" w:cs="仿宋"/>
                <w:sz w:val="36"/>
                <w:szCs w:val="36"/>
              </w:rPr>
              <w:t>参数需求</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产品结构</w:t>
            </w:r>
          </w:p>
        </w:tc>
        <w:tc>
          <w:tcPr>
            <w:tcW w:w="7145" w:type="dxa"/>
            <w:tcBorders>
              <w:top w:val="single" w:color="auto" w:sz="4" w:space="0"/>
              <w:left w:val="nil"/>
              <w:bottom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采用标准机架式硬件平台，采用冗余电源</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部署方式</w:t>
            </w:r>
          </w:p>
        </w:tc>
        <w:tc>
          <w:tcPr>
            <w:tcW w:w="7145" w:type="dxa"/>
            <w:tcBorders>
              <w:top w:val="single" w:color="auto" w:sz="4" w:space="0"/>
              <w:left w:val="nil"/>
              <w:bottom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支持旁路接入部署</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存储</w:t>
            </w:r>
          </w:p>
        </w:tc>
        <w:tc>
          <w:tcPr>
            <w:tcW w:w="7145" w:type="dxa"/>
            <w:tcBorders>
              <w:top w:val="single" w:color="auto" w:sz="4" w:space="0"/>
              <w:left w:val="nil"/>
              <w:bottom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至少4TB</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接口</w:t>
            </w:r>
          </w:p>
        </w:tc>
        <w:tc>
          <w:tcPr>
            <w:tcW w:w="7145" w:type="dxa"/>
            <w:tcBorders>
              <w:top w:val="single" w:color="auto" w:sz="4" w:space="0"/>
              <w:left w:val="nil"/>
              <w:bottom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至少4个10/100/1000自适应电口，1个扩展网络接口槽</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性能</w:t>
            </w:r>
          </w:p>
        </w:tc>
        <w:tc>
          <w:tcPr>
            <w:tcW w:w="7145" w:type="dxa"/>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★图形会话≥150路，字符命令行会话并发≥300路</w:t>
            </w:r>
          </w:p>
        </w:tc>
      </w:tr>
      <w:tr>
        <w:tblPrEx>
          <w:tblCellMar>
            <w:top w:w="0" w:type="dxa"/>
            <w:left w:w="108" w:type="dxa"/>
            <w:bottom w:w="0" w:type="dxa"/>
            <w:right w:w="108" w:type="dxa"/>
          </w:tblCellMar>
        </w:tblPrEx>
        <w:trPr>
          <w:trHeight w:val="90"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协议支持</w:t>
            </w:r>
          </w:p>
        </w:tc>
        <w:tc>
          <w:tcPr>
            <w:tcW w:w="7145" w:type="dxa"/>
            <w:tcBorders>
              <w:top w:val="single" w:color="auto" w:sz="4" w:space="0"/>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支持IPv6网络环境下的运维、操作审计</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产品维保</w:t>
            </w:r>
          </w:p>
        </w:tc>
        <w:tc>
          <w:tcPr>
            <w:tcW w:w="7145" w:type="dxa"/>
            <w:tcBorders>
              <w:top w:val="single" w:color="auto" w:sz="4" w:space="0"/>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提供</w:t>
            </w:r>
            <w:r>
              <w:rPr>
                <w:rFonts w:hint="eastAsia" w:ascii="仿宋" w:hAnsi="仿宋" w:eastAsia="仿宋" w:cs="仿宋"/>
                <w:color w:val="000000"/>
                <w:sz w:val="21"/>
                <w:szCs w:val="21"/>
                <w:lang w:val="en-US" w:eastAsia="zh-CN"/>
              </w:rPr>
              <w:t>不少于</w:t>
            </w:r>
            <w:r>
              <w:rPr>
                <w:rFonts w:hint="eastAsia" w:ascii="仿宋" w:hAnsi="仿宋" w:eastAsia="仿宋" w:cs="仿宋"/>
                <w:color w:val="000000"/>
                <w:sz w:val="21"/>
                <w:szCs w:val="21"/>
              </w:rPr>
              <w:t>三年硬件维保及软件升级服务</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授权</w:t>
            </w:r>
          </w:p>
        </w:tc>
        <w:tc>
          <w:tcPr>
            <w:tcW w:w="7145" w:type="dxa"/>
            <w:tcBorders>
              <w:top w:val="single" w:color="auto" w:sz="4" w:space="0"/>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提供100授权</w:t>
            </w:r>
          </w:p>
        </w:tc>
      </w:tr>
      <w:tr>
        <w:tblPrEx>
          <w:tblCellMar>
            <w:top w:w="0" w:type="dxa"/>
            <w:left w:w="108" w:type="dxa"/>
            <w:bottom w:w="0" w:type="dxa"/>
            <w:right w:w="108" w:type="dxa"/>
          </w:tblCellMar>
        </w:tblPrEx>
        <w:trPr>
          <w:trHeight w:val="532" w:hRule="atLeast"/>
        </w:trPr>
        <w:tc>
          <w:tcPr>
            <w:tcW w:w="1609" w:type="dxa"/>
            <w:vMerge w:val="restart"/>
            <w:tcBorders>
              <w:left w:val="single" w:color="auto" w:sz="4" w:space="0"/>
              <w:right w:val="single" w:color="auto" w:sz="4" w:space="0"/>
            </w:tcBorders>
            <w:vAlign w:val="center"/>
          </w:tcPr>
          <w:p>
            <w:pPr>
              <w:pStyle w:val="38"/>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基础功能</w:t>
            </w:r>
          </w:p>
        </w:tc>
        <w:tc>
          <w:tcPr>
            <w:tcW w:w="7145" w:type="dxa"/>
            <w:tcBorders>
              <w:top w:val="nil"/>
              <w:left w:val="nil"/>
              <w:bottom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支持SSH、RDP、VNC、Telnet、FTP、SCP、SFTP、DB2、MySQL、Oracle、SQL Server、Rlogin等协议</w:t>
            </w:r>
          </w:p>
        </w:tc>
      </w:tr>
      <w:tr>
        <w:tblPrEx>
          <w:tblCellMar>
            <w:top w:w="0" w:type="dxa"/>
            <w:left w:w="108" w:type="dxa"/>
            <w:bottom w:w="0" w:type="dxa"/>
            <w:right w:w="108" w:type="dxa"/>
          </w:tblCellMar>
        </w:tblPrEx>
        <w:trPr>
          <w:trHeight w:val="532"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支持Linux/Unix、Windows、H3C、Huawei、Cisco等系统</w:t>
            </w:r>
          </w:p>
        </w:tc>
      </w:tr>
      <w:tr>
        <w:tblPrEx>
          <w:tblCellMar>
            <w:top w:w="0" w:type="dxa"/>
            <w:left w:w="108" w:type="dxa"/>
            <w:bottom w:w="0" w:type="dxa"/>
            <w:right w:w="108" w:type="dxa"/>
          </w:tblCellMar>
        </w:tblPrEx>
        <w:trPr>
          <w:trHeight w:val="407"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可通过应用发布实现对MySQL、SQL Server、Oracle、IE、Firefox、Chrome、VNC Client、SecBrowser、VSphere Client、Radmin、dbisql等应用程序/客户端的扩展支持，且图形界面支持分辨率设置</w:t>
            </w:r>
          </w:p>
        </w:tc>
      </w:tr>
      <w:tr>
        <w:tblPrEx>
          <w:tblCellMar>
            <w:top w:w="0" w:type="dxa"/>
            <w:left w:w="108" w:type="dxa"/>
            <w:bottom w:w="0" w:type="dxa"/>
            <w:right w:w="108" w:type="dxa"/>
          </w:tblCellMar>
        </w:tblPrEx>
        <w:trPr>
          <w:trHeight w:val="407"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支持按IP范围、端口进行资源设备自动发现，实现快速批量添加资源设备</w:t>
            </w:r>
          </w:p>
        </w:tc>
      </w:tr>
      <w:tr>
        <w:tblPrEx>
          <w:tblCellMar>
            <w:top w:w="0" w:type="dxa"/>
            <w:left w:w="108" w:type="dxa"/>
            <w:bottom w:w="0" w:type="dxa"/>
            <w:right w:w="108" w:type="dxa"/>
          </w:tblCellMar>
        </w:tblPrEx>
        <w:trPr>
          <w:trHeight w:val="121"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single" w:color="auto" w:sz="4" w:space="0"/>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不限操作客户端系统类型，无需安装任何客户端插件，使用H5即可直接运维windows、Linux、网络设备等资源</w:t>
            </w:r>
          </w:p>
        </w:tc>
      </w:tr>
      <w:tr>
        <w:tblPrEx>
          <w:tblCellMar>
            <w:top w:w="0" w:type="dxa"/>
            <w:left w:w="108" w:type="dxa"/>
            <w:bottom w:w="0" w:type="dxa"/>
            <w:right w:w="108" w:type="dxa"/>
          </w:tblCellMar>
        </w:tblPrEx>
        <w:trPr>
          <w:trHeight w:val="121"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single" w:color="auto" w:sz="4" w:space="0"/>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通过群发命令、预置命令，实现同时运维多台资源设备</w:t>
            </w:r>
          </w:p>
        </w:tc>
      </w:tr>
      <w:tr>
        <w:tblPrEx>
          <w:tblCellMar>
            <w:top w:w="0" w:type="dxa"/>
            <w:left w:w="108" w:type="dxa"/>
            <w:bottom w:w="0" w:type="dxa"/>
            <w:right w:w="108" w:type="dxa"/>
          </w:tblCellMar>
        </w:tblPrEx>
        <w:trPr>
          <w:trHeight w:val="121"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支持按IP黑白名单、访问时间段限制用户在堡垒机上运维资源</w:t>
            </w:r>
          </w:p>
        </w:tc>
      </w:tr>
      <w:tr>
        <w:tblPrEx>
          <w:tblCellMar>
            <w:top w:w="0" w:type="dxa"/>
            <w:left w:w="108" w:type="dxa"/>
            <w:bottom w:w="0" w:type="dxa"/>
            <w:right w:w="108" w:type="dxa"/>
          </w:tblCellMar>
        </w:tblPrEx>
        <w:trPr>
          <w:trHeight w:val="121"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支持用户的IP地址和MAC地址限制（黑名单或白名单），限制非法地址无法登陆堡垒机</w:t>
            </w:r>
          </w:p>
        </w:tc>
      </w:tr>
      <w:tr>
        <w:tblPrEx>
          <w:tblCellMar>
            <w:top w:w="0" w:type="dxa"/>
            <w:left w:w="108" w:type="dxa"/>
            <w:bottom w:w="0" w:type="dxa"/>
            <w:right w:w="108" w:type="dxa"/>
          </w:tblCellMar>
        </w:tblPrEx>
        <w:trPr>
          <w:trHeight w:val="121" w:hRule="atLeast"/>
        </w:trPr>
        <w:tc>
          <w:tcPr>
            <w:tcW w:w="1609" w:type="dxa"/>
            <w:vMerge w:val="continue"/>
            <w:tcBorders>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支持按功能模块自定义角色权限，便于管理，用于复杂的业务场景需求</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部门管理</w:t>
            </w:r>
          </w:p>
        </w:tc>
        <w:tc>
          <w:tcPr>
            <w:tcW w:w="7145" w:type="dxa"/>
            <w:tcBorders>
              <w:top w:val="single" w:color="auto" w:sz="4" w:space="0"/>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支持分权管理，管理权限分为用户、资源、策略和审计数据</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single" w:color="auto" w:sz="4" w:space="0"/>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支持多级部门设置功能，灵活划分可管理的用户和资源的范围，实现通过部门分组管理</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访问和命令控制</w:t>
            </w: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支持按用户组和账户组多对多的资源访问授权，用户组和账户组内的新增成员可自动继承授权关系</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支持按用户、用户组、账户、账户组、操作命令、命令集、有效期、生效时段等条件，细粒度地设置操作黑白名单</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预置Linux主机和网络设备的基本命令，支持正则表达式和通配符方式设置匹配规则，自定义命令黑白名单</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支持对MySQL和Oracle数据库的访问操作控制</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自动运维</w:t>
            </w: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支持从Linux服务器推拉账户，实现堡垒机与资源服务器的账户同步</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支持在页面上批量执行命令和脚本，实时查看命令和脚本的输出结果，实现快速运维</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支持批量执行命令和脚本时，能够实时查看命令和脚本的输出，支持批量传输文件时，可以实时查看传输进度</w:t>
            </w:r>
          </w:p>
        </w:tc>
      </w:tr>
      <w:tr>
        <w:tblPrEx>
          <w:tblCellMar>
            <w:top w:w="0" w:type="dxa"/>
            <w:left w:w="108" w:type="dxa"/>
            <w:bottom w:w="0" w:type="dxa"/>
            <w:right w:w="108" w:type="dxa"/>
          </w:tblCellMar>
        </w:tblPrEx>
        <w:trPr>
          <w:trHeight w:val="364" w:hRule="atLeast"/>
        </w:trPr>
        <w:tc>
          <w:tcPr>
            <w:tcW w:w="1609" w:type="dxa"/>
            <w:vMerge w:val="restart"/>
            <w:tcBorders>
              <w:top w:val="single" w:color="auto" w:sz="4" w:space="0"/>
              <w:left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操作记录</w:t>
            </w: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支持记录用户登录资源的操作行为，包含：资源名称、协议类型、主机或应用地址、资源账户、起止时间、会话时长、操作用户、来源IP、操作记录、文件传输记录、会话协同记录、以及会话结束状态的审计</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支持对字符操作命令进行精准识别</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支持对数据库操作的SQL语句进行精准识别</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支持用户水印功能，避免数据泄露无法追责</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支持对文件传输协议FTP、SFTP的审计，详细记录文件传输操作</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系统内置多种运维、系统报表模板，支持按日、周、月为周期，自动生成Word、HTML、Excel和PDF格式的报表</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支持以图形、字符方式双重审计，完整详细还原操作记录</w:t>
            </w:r>
          </w:p>
        </w:tc>
      </w:tr>
      <w:tr>
        <w:tblPrEx>
          <w:tblCellMar>
            <w:top w:w="0" w:type="dxa"/>
            <w:left w:w="108" w:type="dxa"/>
            <w:bottom w:w="0" w:type="dxa"/>
            <w:right w:w="108" w:type="dxa"/>
          </w:tblCellMar>
        </w:tblPrEx>
        <w:trPr>
          <w:trHeight w:val="364"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支持数据库命令级审计，数据库支持类型包括：DB2、MySQL、Oracle、SQL Server等</w:t>
            </w:r>
          </w:p>
        </w:tc>
      </w:tr>
      <w:tr>
        <w:tblPrEx>
          <w:tblCellMar>
            <w:top w:w="0" w:type="dxa"/>
            <w:left w:w="108" w:type="dxa"/>
            <w:bottom w:w="0" w:type="dxa"/>
            <w:right w:w="108" w:type="dxa"/>
          </w:tblCellMar>
        </w:tblPrEx>
        <w:trPr>
          <w:trHeight w:val="243" w:hRule="atLeast"/>
        </w:trPr>
        <w:tc>
          <w:tcPr>
            <w:tcW w:w="1609" w:type="dxa"/>
            <w:vMerge w:val="continue"/>
            <w:tcBorders>
              <w:left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支持基于数据库代理的命令级审计和基于应用发布的图形审计的双重审计效果，命令级审计便于重现真实的完整操作命令，图形审计便于直观的查看到真实的操作行为</w:t>
            </w:r>
          </w:p>
        </w:tc>
      </w:tr>
      <w:tr>
        <w:tblPrEx>
          <w:tblCellMar>
            <w:top w:w="0" w:type="dxa"/>
            <w:left w:w="108" w:type="dxa"/>
            <w:bottom w:w="0" w:type="dxa"/>
            <w:right w:w="108" w:type="dxa"/>
          </w:tblCellMar>
        </w:tblPrEx>
        <w:trPr>
          <w:trHeight w:val="243" w:hRule="atLeast"/>
        </w:trPr>
        <w:tc>
          <w:tcPr>
            <w:tcW w:w="1609" w:type="dxa"/>
            <w:vMerge w:val="continue"/>
            <w:tcBorders>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支持以图形、字符方式双重审计，完整详细还原操作记录</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会话回放</w:t>
            </w: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支持从命令符定位到用户的操作过程</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支持在线回放操作过程，并可以对播放速度进行调整、拖动、暂停、停止、跳过空闲、重新播放等操作</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支持离线回放运维人员对资源的操作过程，同时回放文件可下载到本地播放 </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支持文本审计的内容为关键字进行图形搜索，同时结果可直接定位到相关图形画面进行回放</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支持Web页面播放审计会话时，可快速切换其他资源历史会话</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改密计划</w:t>
            </w: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支持以账户、账户组、时间、改密周期、改密方式生成详细的改密计划，到期自动执行</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支持修改数据库账户的密码，包括MySQL、Oracle、SQL Server（提供截图证明并加盖公章）</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实时监控</w:t>
            </w: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支持对当前会话进行无延时的实时监控和切断</w:t>
            </w:r>
          </w:p>
        </w:tc>
      </w:tr>
      <w:tr>
        <w:tblPrEx>
          <w:tblCellMar>
            <w:top w:w="0" w:type="dxa"/>
            <w:left w:w="108" w:type="dxa"/>
            <w:bottom w:w="0" w:type="dxa"/>
            <w:right w:w="108" w:type="dxa"/>
          </w:tblCellMar>
        </w:tblPrEx>
        <w:trPr>
          <w:trHeight w:val="121"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系统公告</w:t>
            </w: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通过系统公告对所有用户发送消息通知</w:t>
            </w:r>
          </w:p>
        </w:tc>
      </w:tr>
      <w:tr>
        <w:tblPrEx>
          <w:tblCellMar>
            <w:top w:w="0" w:type="dxa"/>
            <w:left w:w="108" w:type="dxa"/>
            <w:bottom w:w="0" w:type="dxa"/>
            <w:right w:w="108" w:type="dxa"/>
          </w:tblCellMar>
        </w:tblPrEx>
        <w:trPr>
          <w:trHeight w:val="121" w:hRule="atLeast"/>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系统设置</w:t>
            </w: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支持根据不同的角色权限展示桌面</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支持用户、主机、应用、应用服务器、告警数量的统计</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支持最近登录主机和应用的展示，并提供从桌面登录资源的功能</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支持登录失败次数锁死设置，可配置解锁时长，到期自动解锁，也可以手动解锁</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支持异步操作任务，支持实时查看任务进度，支持终止任务</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支持自定义系统事件的告警等级及方式，例如邮件、手机短信通知及Syslog日志外发</w:t>
            </w:r>
          </w:p>
        </w:tc>
      </w:tr>
      <w:tr>
        <w:tblPrEx>
          <w:tblCellMar>
            <w:top w:w="0" w:type="dxa"/>
            <w:left w:w="108" w:type="dxa"/>
            <w:bottom w:w="0" w:type="dxa"/>
            <w:right w:w="108" w:type="dxa"/>
          </w:tblCellMar>
        </w:tblPrEx>
        <w:trPr>
          <w:trHeight w:val="121" w:hRule="atLeast"/>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p>
        </w:tc>
        <w:tc>
          <w:tcPr>
            <w:tcW w:w="7145" w:type="dxa"/>
            <w:tcBorders>
              <w:top w:val="nil"/>
              <w:left w:val="nil"/>
              <w:bottom w:val="single" w:color="auto" w:sz="4" w:space="0"/>
              <w:right w:val="single" w:color="auto" w:sz="4" w:space="0"/>
            </w:tcBorders>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支持修改系统自身对外提供服务的默认端口</w:t>
            </w:r>
          </w:p>
        </w:tc>
      </w:tr>
      <w:tr>
        <w:tblPrEx>
          <w:tblCellMar>
            <w:top w:w="0" w:type="dxa"/>
            <w:left w:w="108" w:type="dxa"/>
            <w:bottom w:w="0" w:type="dxa"/>
            <w:right w:w="108" w:type="dxa"/>
          </w:tblCellMar>
        </w:tblPrEx>
        <w:trPr>
          <w:trHeight w:val="418" w:hRule="atLeast"/>
        </w:trPr>
        <w:tc>
          <w:tcPr>
            <w:tcW w:w="1609" w:type="dxa"/>
            <w:tcBorders>
              <w:top w:val="single" w:color="auto" w:sz="4" w:space="0"/>
              <w:left w:val="single" w:color="auto" w:sz="4" w:space="0"/>
              <w:bottom w:val="single" w:color="auto" w:sz="4" w:space="0"/>
              <w:right w:val="single" w:color="auto" w:sz="4" w:space="0"/>
            </w:tcBorders>
            <w:vAlign w:val="center"/>
          </w:tcPr>
          <w:p>
            <w:pPr>
              <w:pStyle w:val="38"/>
              <w:rPr>
                <w:rFonts w:hint="eastAsia" w:ascii="仿宋" w:hAnsi="仿宋" w:eastAsia="仿宋" w:cs="仿宋"/>
                <w:color w:val="000000"/>
                <w:sz w:val="21"/>
                <w:szCs w:val="21"/>
              </w:rPr>
            </w:pPr>
            <w:r>
              <w:rPr>
                <w:rFonts w:hint="eastAsia" w:ascii="仿宋" w:hAnsi="仿宋" w:eastAsia="仿宋" w:cs="仿宋"/>
                <w:color w:val="000000"/>
                <w:sz w:val="21"/>
                <w:szCs w:val="21"/>
              </w:rPr>
              <w:t>资质</w:t>
            </w:r>
          </w:p>
        </w:tc>
        <w:tc>
          <w:tcPr>
            <w:tcW w:w="7145" w:type="dxa"/>
            <w:tcBorders>
              <w:top w:val="single" w:color="auto" w:sz="4" w:space="0"/>
              <w:left w:val="nil"/>
              <w:bottom w:val="single" w:color="auto" w:sz="4" w:space="0"/>
              <w:right w:val="single" w:color="auto" w:sz="4" w:space="0"/>
            </w:tcBorders>
          </w:tcPr>
          <w:p>
            <w:pPr>
              <w:pStyle w:val="38"/>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sz w:val="21"/>
                <w:szCs w:val="21"/>
              </w:rPr>
              <w:t>需具备计算机信息系统安全</w:t>
            </w:r>
            <w:r>
              <w:rPr>
                <w:rFonts w:hint="eastAsia" w:ascii="仿宋" w:hAnsi="仿宋" w:eastAsia="仿宋" w:cs="仿宋"/>
                <w:color w:val="000000"/>
                <w:sz w:val="21"/>
                <w:szCs w:val="21"/>
                <w:lang w:val="en-US" w:eastAsia="zh-CN"/>
              </w:rPr>
              <w:t>运维等方面相关资质</w:t>
            </w:r>
          </w:p>
        </w:tc>
      </w:tr>
      <w:tr>
        <w:tblPrEx>
          <w:tblCellMar>
            <w:top w:w="0" w:type="dxa"/>
            <w:left w:w="108" w:type="dxa"/>
            <w:bottom w:w="0" w:type="dxa"/>
            <w:right w:w="108" w:type="dxa"/>
          </w:tblCellMar>
        </w:tblPrEx>
        <w:trPr>
          <w:trHeight w:val="418" w:hRule="atLeast"/>
        </w:trPr>
        <w:tc>
          <w:tcPr>
            <w:tcW w:w="1609" w:type="dxa"/>
            <w:tcBorders>
              <w:top w:val="single" w:color="auto" w:sz="4" w:space="0"/>
              <w:left w:val="single" w:color="auto" w:sz="4" w:space="0"/>
              <w:right w:val="single" w:color="auto" w:sz="4" w:space="0"/>
            </w:tcBorders>
            <w:vAlign w:val="center"/>
          </w:tcPr>
          <w:p>
            <w:pPr>
              <w:pStyle w:val="38"/>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报价金额</w:t>
            </w:r>
          </w:p>
        </w:tc>
        <w:tc>
          <w:tcPr>
            <w:tcW w:w="7145" w:type="dxa"/>
            <w:tcBorders>
              <w:top w:val="single" w:color="auto" w:sz="4" w:space="0"/>
              <w:left w:val="nil"/>
              <w:bottom w:val="single" w:color="auto" w:sz="4" w:space="0"/>
              <w:right w:val="single" w:color="auto" w:sz="4" w:space="0"/>
            </w:tcBorders>
          </w:tcPr>
          <w:p>
            <w:pPr>
              <w:pStyle w:val="38"/>
              <w:rPr>
                <w:rFonts w:hint="eastAsia" w:ascii="仿宋" w:hAnsi="仿宋" w:eastAsia="仿宋" w:cs="仿宋"/>
                <w:color w:val="000000"/>
                <w:sz w:val="21"/>
                <w:szCs w:val="21"/>
              </w:rPr>
            </w:pPr>
          </w:p>
        </w:tc>
      </w:tr>
    </w:tbl>
    <w:p>
      <w:pPr>
        <w:spacing w:line="380" w:lineRule="exact"/>
        <w:ind w:firstLine="280" w:firstLineChars="100"/>
        <w:rPr>
          <w:rFonts w:ascii="仿宋" w:hAnsi="仿宋" w:eastAsia="仿宋"/>
          <w:sz w:val="28"/>
          <w:szCs w:val="28"/>
        </w:rPr>
      </w:pPr>
      <w:r>
        <w:rPr>
          <w:rFonts w:ascii="仿宋" w:hAnsi="仿宋" w:eastAsia="仿宋"/>
          <w:sz w:val="28"/>
          <w:szCs w:val="28"/>
        </w:rPr>
        <w:t>注：</w:t>
      </w:r>
      <w:r>
        <w:rPr>
          <w:rFonts w:hint="eastAsia" w:ascii="仿宋" w:hAnsi="仿宋" w:eastAsia="仿宋"/>
          <w:sz w:val="28"/>
          <w:szCs w:val="28"/>
          <w:lang w:val="en-US" w:eastAsia="zh-CN"/>
        </w:rPr>
        <w:t>1.</w:t>
      </w:r>
      <w:r>
        <w:rPr>
          <w:rFonts w:ascii="仿宋" w:hAnsi="仿宋" w:eastAsia="仿宋"/>
          <w:sz w:val="28"/>
          <w:szCs w:val="28"/>
        </w:rPr>
        <w:t>如果按单价计算的结果与总价不一致,以单价为准修正总价。</w:t>
      </w:r>
    </w:p>
    <w:p>
      <w:pPr>
        <w:numPr>
          <w:ilvl w:val="0"/>
          <w:numId w:val="0"/>
        </w:numPr>
        <w:spacing w:line="380" w:lineRule="exact"/>
        <w:ind w:firstLine="840" w:firstLineChars="3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numPr>
          <w:ilvl w:val="0"/>
          <w:numId w:val="0"/>
        </w:numPr>
        <w:spacing w:line="38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3.以上报价包含税费、运费、安装费等一切费用，卖方需开具足额的增值税普通发票。</w:t>
      </w:r>
    </w:p>
    <w:p>
      <w:pPr>
        <w:numPr>
          <w:ilvl w:val="0"/>
          <w:numId w:val="0"/>
        </w:numPr>
        <w:spacing w:line="38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4.报价须提供详细参数和具体品牌，否则将视为没有实质性响应公开询价文件。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13755945"/>
      <w:bookmarkStart w:id="117" w:name="_Toc253066624"/>
      <w:bookmarkStart w:id="118" w:name="_Toc182372787"/>
      <w:bookmarkStart w:id="119" w:name="_Toc266868943"/>
      <w:bookmarkStart w:id="120" w:name="_Toc217891408"/>
      <w:bookmarkStart w:id="121" w:name="_Toc259520874"/>
      <w:bookmarkStart w:id="122" w:name="_Toc267059811"/>
      <w:bookmarkStart w:id="123" w:name="_Toc191783227"/>
      <w:bookmarkStart w:id="124" w:name="_Toc213755864"/>
      <w:bookmarkStart w:id="125" w:name="_Toc203355738"/>
      <w:bookmarkStart w:id="126" w:name="_Toc213756001"/>
      <w:bookmarkStart w:id="127" w:name="_Toc259692656"/>
      <w:bookmarkStart w:id="128" w:name="_Toc193160453"/>
      <w:bookmarkStart w:id="129" w:name="_Toc192663840"/>
      <w:bookmarkStart w:id="130" w:name="_Toc213756057"/>
      <w:bookmarkStart w:id="131" w:name="_Toc182805222"/>
      <w:bookmarkStart w:id="132" w:name="_Toc235438352"/>
      <w:bookmarkStart w:id="133" w:name="_Toc180302918"/>
      <w:bookmarkStart w:id="134" w:name="_Toc193165739"/>
      <w:bookmarkStart w:id="135" w:name="_Toc267059924"/>
      <w:bookmarkStart w:id="136" w:name="_Toc232302122"/>
      <w:bookmarkStart w:id="137" w:name="_Toc191803631"/>
      <w:bookmarkStart w:id="138" w:name="_Toc170798798"/>
      <w:bookmarkStart w:id="139" w:name="_Toc211917121"/>
      <w:bookmarkStart w:id="140" w:name="_Toc235438281"/>
      <w:bookmarkStart w:id="141" w:name="_Toc267060461"/>
      <w:bookmarkStart w:id="142" w:name="_Toc223146614"/>
      <w:bookmarkStart w:id="143" w:name="_Toc266870916"/>
      <w:bookmarkStart w:id="144" w:name="_Toc258401265"/>
      <w:bookmarkStart w:id="145" w:name="_Toc225669328"/>
      <w:bookmarkStart w:id="146" w:name="_Toc192996343"/>
      <w:bookmarkStart w:id="147" w:name="_Toc192664158"/>
      <w:bookmarkStart w:id="148" w:name="_Toc227058536"/>
      <w:bookmarkStart w:id="149" w:name="_Toc267060076"/>
      <w:bookmarkStart w:id="150" w:name="_Toc192663691"/>
      <w:bookmarkStart w:id="151" w:name="_Toc259692749"/>
      <w:bookmarkStart w:id="152" w:name="_Toc273178703"/>
      <w:bookmarkStart w:id="153" w:name="_Toc267060216"/>
      <w:bookmarkStart w:id="154" w:name="_Toc267059544"/>
      <w:bookmarkStart w:id="155" w:name="_Toc169332843"/>
      <w:bookmarkStart w:id="156" w:name="_Toc177985474"/>
      <w:bookmarkStart w:id="157" w:name="_Toc255975016"/>
      <w:bookmarkStart w:id="158" w:name="_Toc266870441"/>
      <w:bookmarkStart w:id="159" w:name="_Toc219800249"/>
      <w:bookmarkStart w:id="160" w:name="_Toc267059186"/>
      <w:bookmarkStart w:id="161" w:name="_Toc267059035"/>
      <w:bookmarkStart w:id="162" w:name="_Toc251613839"/>
      <w:bookmarkStart w:id="163" w:name="_Toc192996451"/>
      <w:bookmarkStart w:id="164" w:name="_Toc191789334"/>
      <w:bookmarkStart w:id="165" w:name="_Toc181436570"/>
      <w:bookmarkStart w:id="166" w:name="_Toc251586241"/>
      <w:bookmarkStart w:id="167" w:name="_Toc249325720"/>
      <w:bookmarkStart w:id="168" w:name="_Toc181436466"/>
      <w:bookmarkStart w:id="169" w:name="_Toc169332954"/>
      <w:bookmarkStart w:id="170" w:name="_Toc266870839"/>
      <w:bookmarkStart w:id="171" w:name="_Toc267059658"/>
      <w:bookmarkStart w:id="172" w:name="_Toc191802695"/>
      <w:bookmarkStart w:id="173" w:name="_Toc267060326"/>
      <w:bookmarkStart w:id="174" w:name="_Toc160880165"/>
      <w:bookmarkStart w:id="175" w:name="_Toc160880534"/>
      <w:bookmarkStart w:id="176" w:name="_Toc230071153"/>
      <w:bookmarkStart w:id="177" w:name="_Toc235437998"/>
      <w:bookmarkStart w:id="178" w:name="_Toc254790909"/>
      <w:bookmarkStart w:id="179" w:name="_Toc213208771"/>
      <w:bookmarkStart w:id="180" w:name="_Toc236021457"/>
      <w:bookmarkStart w:id="181" w:name="_Toc266868679"/>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5"/>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25669329"/>
      <w:bookmarkStart w:id="183" w:name="_Toc258401266"/>
      <w:bookmarkStart w:id="184" w:name="_Toc259520875"/>
      <w:bookmarkStart w:id="185" w:name="_Toc266870917"/>
      <w:bookmarkStart w:id="186" w:name="_Toc253066625"/>
      <w:bookmarkStart w:id="187" w:name="_Toc223146615"/>
      <w:bookmarkStart w:id="188" w:name="_Toc259692657"/>
      <w:bookmarkStart w:id="189" w:name="_Toc217891409"/>
      <w:bookmarkStart w:id="190" w:name="_Toc219800250"/>
      <w:bookmarkStart w:id="191" w:name="_Toc236021458"/>
      <w:bookmarkStart w:id="192" w:name="_Toc267060077"/>
      <w:bookmarkStart w:id="193" w:name="_Toc227058537"/>
      <w:bookmarkStart w:id="194" w:name="_Toc235438353"/>
      <w:bookmarkStart w:id="195" w:name="_Toc267060217"/>
      <w:bookmarkStart w:id="196" w:name="_Toc251613840"/>
      <w:bookmarkStart w:id="197" w:name="_Toc249325721"/>
      <w:bookmarkStart w:id="198" w:name="_Toc232302123"/>
      <w:bookmarkStart w:id="199" w:name="_Toc259692750"/>
      <w:bookmarkStart w:id="200" w:name="_Toc235438282"/>
      <w:bookmarkStart w:id="201" w:name="_Toc254790910"/>
      <w:bookmarkStart w:id="202" w:name="_Toc255975017"/>
      <w:bookmarkStart w:id="203" w:name="_Toc267060462"/>
      <w:bookmarkStart w:id="204" w:name="_Toc266870442"/>
      <w:bookmarkStart w:id="205" w:name="_Toc235437999"/>
      <w:bookmarkStart w:id="206" w:name="_Toc213756058"/>
      <w:bookmarkStart w:id="207" w:name="_Toc266868680"/>
      <w:bookmarkStart w:id="208" w:name="_Toc230071154"/>
      <w:bookmarkStart w:id="209" w:name="_Toc251586242"/>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广州大学松田学院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36021459"/>
      <w:bookmarkStart w:id="212" w:name="_Toc225669330"/>
      <w:bookmarkStart w:id="213" w:name="_Toc253066626"/>
      <w:bookmarkStart w:id="214" w:name="_Toc259692658"/>
      <w:bookmarkStart w:id="215" w:name="_Toc249325722"/>
      <w:bookmarkStart w:id="216" w:name="_Toc266870443"/>
      <w:bookmarkStart w:id="217" w:name="_Toc232302124"/>
      <w:bookmarkStart w:id="218" w:name="_Toc227058538"/>
      <w:bookmarkStart w:id="219" w:name="_Toc217891410"/>
      <w:bookmarkStart w:id="220" w:name="_Toc259520876"/>
      <w:bookmarkStart w:id="221" w:name="_Toc266868681"/>
      <w:bookmarkStart w:id="222" w:name="_Toc266870918"/>
      <w:bookmarkStart w:id="223" w:name="_Toc251586243"/>
      <w:bookmarkStart w:id="224" w:name="_Toc258401267"/>
      <w:bookmarkStart w:id="225" w:name="_Toc235438000"/>
      <w:bookmarkStart w:id="226" w:name="_Toc259692751"/>
      <w:bookmarkStart w:id="227" w:name="_Toc213756059"/>
      <w:bookmarkStart w:id="228" w:name="_Toc235438283"/>
      <w:bookmarkStart w:id="229" w:name="_Toc223146616"/>
      <w:bookmarkStart w:id="230" w:name="_Toc235438354"/>
      <w:bookmarkStart w:id="231" w:name="_Toc254790911"/>
      <w:bookmarkStart w:id="232" w:name="_Toc255975018"/>
      <w:bookmarkStart w:id="233" w:name="_Toc251613841"/>
      <w:bookmarkStart w:id="234" w:name="_Toc230071155"/>
      <w:bookmarkStart w:id="235" w:name="_Toc219800251"/>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广州大学松田学院</w:t>
      </w:r>
      <w:r>
        <w:rPr>
          <w:rFonts w:hint="eastAsia" w:ascii="仿宋" w:hAnsi="仿宋" w:eastAsia="仿宋"/>
          <w:color w:val="auto"/>
          <w:sz w:val="28"/>
          <w:szCs w:val="28"/>
        </w:rPr>
        <w:t>：</w:t>
      </w:r>
      <w:bookmarkStart w:id="324" w:name="_GoBack"/>
      <w:bookmarkEnd w:id="324"/>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66870447"/>
      <w:bookmarkStart w:id="237" w:name="_Toc235438286"/>
      <w:bookmarkStart w:id="238" w:name="_Toc211917124"/>
      <w:bookmarkStart w:id="239" w:name="_Toc255975021"/>
      <w:bookmarkStart w:id="240" w:name="_Toc182372790"/>
      <w:bookmarkStart w:id="241" w:name="_Toc235438003"/>
      <w:bookmarkStart w:id="242" w:name="_Toc193165742"/>
      <w:bookmarkStart w:id="243" w:name="_Toc203355741"/>
      <w:bookmarkStart w:id="244" w:name="_Toc191803634"/>
      <w:bookmarkStart w:id="245" w:name="_Toc235438357"/>
      <w:bookmarkStart w:id="246" w:name="_Toc259692663"/>
      <w:bookmarkStart w:id="247" w:name="_Toc266868686"/>
      <w:bookmarkStart w:id="248" w:name="_Toc169332957"/>
      <w:bookmarkStart w:id="249" w:name="_Toc266870921"/>
      <w:bookmarkStart w:id="250" w:name="_Toc259520879"/>
      <w:bookmarkStart w:id="251" w:name="_Toc267060466"/>
      <w:bookmarkStart w:id="252" w:name="_Toc259520881"/>
      <w:bookmarkStart w:id="253" w:name="_Toc258401270"/>
      <w:bookmarkStart w:id="254" w:name="_Toc259692754"/>
      <w:bookmarkStart w:id="255" w:name="_Toc254790914"/>
      <w:bookmarkStart w:id="256" w:name="_Toc192664161"/>
      <w:bookmarkStart w:id="257" w:name="_Toc182805225"/>
      <w:bookmarkStart w:id="258" w:name="_Toc232302127"/>
      <w:bookmarkStart w:id="259" w:name="_Toc259692661"/>
      <w:bookmarkStart w:id="260" w:name="_Toc192663694"/>
      <w:bookmarkStart w:id="261" w:name="_Toc192996454"/>
      <w:bookmarkStart w:id="262" w:name="_Toc193160456"/>
      <w:bookmarkStart w:id="263" w:name="_Toc254790916"/>
      <w:bookmarkStart w:id="264" w:name="_Toc249325725"/>
      <w:bookmarkStart w:id="265" w:name="_Toc180302921"/>
      <w:bookmarkStart w:id="266" w:name="_Toc267060465"/>
      <w:bookmarkStart w:id="267" w:name="_Toc267060220"/>
      <w:bookmarkStart w:id="268" w:name="_Toc181436469"/>
      <w:bookmarkStart w:id="269" w:name="_Toc192663843"/>
      <w:bookmarkStart w:id="270" w:name="_Toc160880537"/>
      <w:bookmarkStart w:id="271" w:name="_Toc258401272"/>
      <w:bookmarkStart w:id="272" w:name="_Toc267060221"/>
      <w:bookmarkStart w:id="273" w:name="_Toc267060080"/>
      <w:bookmarkStart w:id="274" w:name="_Toc169332846"/>
      <w:bookmarkStart w:id="275" w:name="_Toc259692756"/>
      <w:bookmarkStart w:id="276" w:name="_Toc255975023"/>
      <w:bookmarkStart w:id="277" w:name="_Toc266870922"/>
      <w:bookmarkStart w:id="278" w:name="_Toc251586246"/>
      <w:bookmarkStart w:id="279" w:name="_Toc266870446"/>
      <w:bookmarkStart w:id="280" w:name="_Toc192996346"/>
      <w:bookmarkStart w:id="281" w:name="_Toc191802698"/>
      <w:bookmarkStart w:id="282" w:name="_Toc181436573"/>
      <w:bookmarkStart w:id="283" w:name="_Toc236021462"/>
      <w:bookmarkStart w:id="284" w:name="_Toc191783230"/>
      <w:bookmarkStart w:id="285" w:name="_Toc191789337"/>
      <w:bookmarkStart w:id="286" w:name="_Toc251613844"/>
      <w:bookmarkStart w:id="287" w:name="_Toc266868684"/>
      <w:bookmarkStart w:id="288" w:name="_Toc170798801"/>
      <w:bookmarkStart w:id="289" w:name="_Toc253066629"/>
      <w:bookmarkStart w:id="290" w:name="_Toc160880168"/>
      <w:bookmarkStart w:id="291" w:name="_Toc267060081"/>
      <w:bookmarkStart w:id="292" w:name="_Toc177985477"/>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36021463"/>
      <w:bookmarkStart w:id="294" w:name="_Toc255975024"/>
      <w:bookmarkStart w:id="295" w:name="_Toc251586247"/>
      <w:bookmarkStart w:id="296" w:name="_Toc266868944"/>
      <w:bookmarkStart w:id="297" w:name="_Toc235438004"/>
      <w:bookmarkStart w:id="298" w:name="_Toc253066630"/>
      <w:bookmarkStart w:id="299" w:name="_Toc267060222"/>
      <w:bookmarkStart w:id="300" w:name="_Toc267059545"/>
      <w:bookmarkStart w:id="301" w:name="_Toc258401273"/>
      <w:bookmarkStart w:id="302" w:name="_Toc259520882"/>
      <w:bookmarkStart w:id="303" w:name="_Toc235438287"/>
      <w:bookmarkStart w:id="304" w:name="_Toc259692664"/>
      <w:bookmarkStart w:id="305" w:name="_Toc266868687"/>
      <w:bookmarkStart w:id="306" w:name="_Toc267060467"/>
      <w:bookmarkStart w:id="307" w:name="_Toc249325726"/>
      <w:bookmarkStart w:id="308" w:name="_Toc259692757"/>
      <w:bookmarkStart w:id="309" w:name="_Toc267060327"/>
      <w:bookmarkStart w:id="310" w:name="_Toc267059187"/>
      <w:bookmarkStart w:id="311" w:name="_Toc251613845"/>
      <w:bookmarkStart w:id="312" w:name="_Toc232302128"/>
      <w:bookmarkStart w:id="313" w:name="_Toc266870923"/>
      <w:bookmarkStart w:id="314" w:name="_Toc267059925"/>
      <w:bookmarkStart w:id="315" w:name="_Toc267059036"/>
      <w:bookmarkStart w:id="316" w:name="_Toc266870840"/>
      <w:bookmarkStart w:id="317" w:name="_Toc254790917"/>
      <w:bookmarkStart w:id="318" w:name="_Toc235438358"/>
      <w:bookmarkStart w:id="319" w:name="_Toc267059812"/>
      <w:bookmarkStart w:id="320" w:name="_Toc267059659"/>
      <w:bookmarkStart w:id="321" w:name="_Toc266870448"/>
      <w:bookmarkStart w:id="322" w:name="_Toc273178704"/>
      <w:bookmarkStart w:id="323" w:name="_Toc26706008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jc w:val="center"/>
        <w:rPr>
          <w:rFonts w:ascii="仿宋" w:hAnsi="仿宋" w:eastAsia="仿宋"/>
          <w:b/>
          <w:bCs/>
          <w:sz w:val="28"/>
          <w:szCs w:val="28"/>
        </w:rPr>
      </w:pPr>
      <w:r>
        <w:rPr>
          <w:rFonts w:hint="eastAsia" w:ascii="仿宋" w:hAnsi="仿宋" w:eastAsia="仿宋"/>
          <w:b/>
          <w:bCs/>
          <w:sz w:val="28"/>
          <w:szCs w:val="28"/>
          <w:lang w:val="en-US" w:eastAsia="zh-CN"/>
        </w:rPr>
        <w:t>5.</w:t>
      </w:r>
      <w:r>
        <w:rPr>
          <w:rFonts w:hint="eastAsia" w:ascii="仿宋" w:hAnsi="仿宋" w:eastAsia="仿宋"/>
          <w:b/>
          <w:bCs/>
          <w:sz w:val="28"/>
          <w:szCs w:val="28"/>
        </w:rPr>
        <w:t>商务偏离表</w:t>
      </w:r>
      <w:r>
        <w:rPr>
          <w:rFonts w:hint="eastAsia" w:ascii="仿宋" w:hAnsi="仿宋" w:eastAsia="仿宋"/>
          <w:b/>
          <w:bCs/>
          <w:sz w:val="28"/>
          <w:szCs w:val="28"/>
        </w:rPr>
        <w:cr/>
      </w:r>
    </w:p>
    <w:p>
      <w:pPr>
        <w:spacing w:line="380" w:lineRule="exact"/>
        <w:ind w:firstLine="280" w:firstLineChars="100"/>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w:t>
      </w:r>
      <w:r>
        <w:rPr>
          <w:rFonts w:hint="eastAsia" w:ascii="仿宋" w:hAnsi="仿宋" w:eastAsia="仿宋"/>
          <w:sz w:val="28"/>
          <w:szCs w:val="28"/>
          <w:lang w:val="en-US" w:eastAsia="zh-CN"/>
        </w:rPr>
        <w:t>项目</w:t>
      </w:r>
      <w:r>
        <w:rPr>
          <w:rFonts w:hint="eastAsia" w:ascii="仿宋" w:hAnsi="仿宋" w:eastAsia="仿宋"/>
          <w:sz w:val="28"/>
          <w:szCs w:val="28"/>
        </w:rPr>
        <w:t>编号∶</w:t>
      </w:r>
    </w:p>
    <w:tbl>
      <w:tblPr>
        <w:tblStyle w:val="23"/>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775"/>
        <w:gridCol w:w="2878"/>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tblHeader/>
          <w:jc w:val="center"/>
        </w:trPr>
        <w:tc>
          <w:tcPr>
            <w:tcW w:w="1129" w:type="dxa"/>
            <w:shd w:val="clear" w:color="auto" w:fill="auto"/>
            <w:vAlign w:val="center"/>
          </w:tcPr>
          <w:p>
            <w:pPr>
              <w:spacing w:after="0" w:line="360" w:lineRule="auto"/>
              <w:jc w:val="center"/>
              <w:rPr>
                <w:rFonts w:ascii="仿宋" w:hAnsi="仿宋" w:eastAsia="仿宋"/>
                <w:sz w:val="28"/>
                <w:szCs w:val="28"/>
                <w:lang w:val="zh-CN"/>
              </w:rPr>
            </w:pPr>
            <w:r>
              <w:rPr>
                <w:rFonts w:hint="eastAsia" w:ascii="仿宋" w:hAnsi="仿宋" w:eastAsia="仿宋"/>
                <w:sz w:val="28"/>
                <w:szCs w:val="28"/>
                <w:lang w:val="zh-CN"/>
              </w:rPr>
              <w:t>货物</w:t>
            </w:r>
          </w:p>
          <w:p>
            <w:pPr>
              <w:spacing w:after="0" w:line="360" w:lineRule="auto"/>
              <w:jc w:val="center"/>
              <w:rPr>
                <w:rFonts w:ascii="仿宋" w:hAnsi="仿宋" w:eastAsia="仿宋"/>
                <w:sz w:val="28"/>
                <w:szCs w:val="28"/>
                <w:lang w:val="zh-CN"/>
              </w:rPr>
            </w:pPr>
            <w:r>
              <w:rPr>
                <w:rFonts w:hint="eastAsia" w:ascii="仿宋" w:hAnsi="仿宋" w:eastAsia="仿宋"/>
                <w:sz w:val="28"/>
                <w:szCs w:val="28"/>
                <w:lang w:val="zh-CN"/>
              </w:rPr>
              <w:t>编号</w:t>
            </w:r>
          </w:p>
        </w:tc>
        <w:tc>
          <w:tcPr>
            <w:tcW w:w="2775" w:type="dxa"/>
            <w:shd w:val="clear" w:color="auto" w:fill="auto"/>
            <w:vAlign w:val="center"/>
          </w:tcPr>
          <w:p>
            <w:pPr>
              <w:spacing w:after="0" w:line="360" w:lineRule="auto"/>
              <w:jc w:val="center"/>
              <w:rPr>
                <w:rFonts w:ascii="仿宋" w:hAnsi="仿宋" w:eastAsia="仿宋"/>
                <w:sz w:val="28"/>
                <w:szCs w:val="28"/>
                <w:lang w:val="zh-CN"/>
              </w:rPr>
            </w:pPr>
            <w:r>
              <w:rPr>
                <w:rFonts w:hint="eastAsia" w:ascii="仿宋" w:hAnsi="仿宋" w:eastAsia="仿宋"/>
                <w:sz w:val="28"/>
                <w:szCs w:val="28"/>
                <w:lang w:val="en-US" w:eastAsia="zh-CN"/>
              </w:rPr>
              <w:t>询价</w:t>
            </w:r>
            <w:r>
              <w:rPr>
                <w:rFonts w:hint="eastAsia" w:ascii="仿宋" w:hAnsi="仿宋" w:eastAsia="仿宋"/>
                <w:sz w:val="28"/>
                <w:szCs w:val="28"/>
                <w:lang w:val="zh-CN"/>
              </w:rPr>
              <w:t>文件规定的</w:t>
            </w:r>
          </w:p>
          <w:p>
            <w:pPr>
              <w:spacing w:line="360" w:lineRule="auto"/>
              <w:jc w:val="center"/>
              <w:rPr>
                <w:rFonts w:ascii="仿宋" w:hAnsi="仿宋" w:eastAsia="仿宋"/>
                <w:sz w:val="28"/>
                <w:szCs w:val="28"/>
                <w:lang w:val="zh-CN"/>
              </w:rPr>
            </w:pPr>
            <w:r>
              <w:rPr>
                <w:rFonts w:hint="eastAsia" w:ascii="仿宋" w:hAnsi="仿宋" w:eastAsia="仿宋"/>
                <w:sz w:val="28"/>
                <w:szCs w:val="28"/>
                <w:lang w:val="zh-CN"/>
              </w:rPr>
              <w:t>商务要求</w:t>
            </w:r>
          </w:p>
        </w:tc>
        <w:tc>
          <w:tcPr>
            <w:tcW w:w="2878" w:type="dxa"/>
            <w:shd w:val="clear" w:color="auto" w:fill="auto"/>
            <w:vAlign w:val="center"/>
          </w:tcPr>
          <w:p>
            <w:pPr>
              <w:spacing w:line="360" w:lineRule="auto"/>
              <w:jc w:val="center"/>
              <w:rPr>
                <w:rFonts w:ascii="仿宋" w:hAnsi="仿宋" w:eastAsia="仿宋"/>
                <w:sz w:val="28"/>
                <w:szCs w:val="28"/>
                <w:lang w:val="zh-CN"/>
              </w:rPr>
            </w:pPr>
            <w:r>
              <w:rPr>
                <w:rFonts w:hint="eastAsia" w:ascii="仿宋" w:hAnsi="仿宋" w:eastAsia="仿宋"/>
                <w:sz w:val="28"/>
                <w:szCs w:val="28"/>
                <w:lang w:val="zh-CN"/>
              </w:rPr>
              <w:t>响应的商务要求内容</w:t>
            </w:r>
          </w:p>
        </w:tc>
        <w:tc>
          <w:tcPr>
            <w:tcW w:w="2270" w:type="dxa"/>
            <w:shd w:val="clear" w:color="auto" w:fill="auto"/>
            <w:vAlign w:val="center"/>
          </w:tcPr>
          <w:p>
            <w:pPr>
              <w:spacing w:line="360" w:lineRule="auto"/>
              <w:jc w:val="center"/>
              <w:rPr>
                <w:rFonts w:ascii="仿宋" w:hAnsi="仿宋" w:eastAsia="仿宋"/>
                <w:sz w:val="28"/>
                <w:szCs w:val="28"/>
                <w:lang w:val="zh-CN"/>
              </w:rPr>
            </w:pPr>
            <w:r>
              <w:rPr>
                <w:rFonts w:hint="eastAsia" w:ascii="仿宋" w:hAnsi="仿宋" w:eastAsia="仿宋"/>
                <w:sz w:val="28"/>
                <w:szCs w:val="28"/>
                <w:lang w:val="zh-CN"/>
              </w:rPr>
              <w:t>偏离详细说明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bl>
    <w:p>
      <w:pPr>
        <w:spacing w:line="380" w:lineRule="exact"/>
        <w:rPr>
          <w:rFonts w:ascii="仿宋" w:hAnsi="仿宋" w:eastAsia="仿宋"/>
          <w:sz w:val="28"/>
          <w:szCs w:val="28"/>
        </w:rPr>
      </w:pPr>
    </w:p>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1001938744"/>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1705238520"/>
          <w:docPartObj>
            <w:docPartGallery w:val="autotext"/>
          </w:docPartObj>
        </w:sdtPr>
        <w:sdtEndPr>
          <w:rPr>
            <w:rFonts w:hint="eastAsia" w:ascii="仿宋" w:hAnsi="仿宋" w:eastAsia="仿宋" w:cs="仿宋"/>
          </w:rPr>
        </w:sdtEndPr>
        <w:sdtContent>
          <w:p>
            <w:pPr>
              <w:pStyle w:val="16"/>
              <w:jc w:val="center"/>
              <w:rPr>
                <w:b/>
                <w:bCs/>
                <w:sz w:val="24"/>
                <w:szCs w:val="24"/>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467357217"/>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455225834"/>
          <w:docPartObj>
            <w:docPartGallery w:val="autotext"/>
          </w:docPartObj>
        </w:sdtPr>
        <w:sdtEndPr>
          <w:rPr>
            <w:rFonts w:hint="eastAsia" w:ascii="仿宋" w:hAnsi="仿宋" w:eastAsia="仿宋" w:cs="仿宋"/>
          </w:rPr>
        </w:sdtEndPr>
        <w:sdtContent>
          <w:p>
            <w:pPr>
              <w:pStyle w:val="16"/>
              <w:jc w:val="center"/>
              <w:rPr>
                <w:b/>
                <w:bCs/>
                <w:sz w:val="24"/>
                <w:szCs w:val="24"/>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297305" cy="383540"/>
          <wp:effectExtent l="0" t="0" r="17145" b="16510"/>
          <wp:docPr id="2" name="图片 2"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297305" cy="383540"/>
          <wp:effectExtent l="0" t="0" r="17145" b="16510"/>
          <wp:docPr id="1" name="图片 1"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E6845"/>
    <w:multiLevelType w:val="singleLevel"/>
    <w:tmpl w:val="872E6845"/>
    <w:lvl w:ilvl="0" w:tentative="0">
      <w:start w:val="2"/>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C2E73C5"/>
    <w:rsid w:val="1BBE1327"/>
    <w:rsid w:val="33B40E00"/>
    <w:rsid w:val="3D5A301B"/>
    <w:rsid w:val="50317284"/>
    <w:rsid w:val="54256950"/>
    <w:rsid w:val="56A9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2020-11-02T08:51:48Z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