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ascii="仿宋" w:hAnsi="仿宋" w:eastAsia="仿宋"/>
          <w:b/>
          <w:sz w:val="72"/>
          <w:szCs w:val="72"/>
        </w:rPr>
      </w:pPr>
      <w:bookmarkStart w:id="0" w:name="_Hlk38472698"/>
      <w:r>
        <w:rPr>
          <w:rFonts w:hint="eastAsia" w:ascii="仿宋" w:hAnsi="仿宋" w:eastAsia="仿宋"/>
          <w:b/>
          <w:sz w:val="72"/>
          <w:szCs w:val="72"/>
          <w:lang w:val="en-US" w:eastAsia="zh-CN"/>
        </w:rPr>
        <w:t>广州应用科技学院</w:t>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肇庆校区教师工作室电器采购及安装</w:t>
      </w:r>
      <w:r>
        <w:rPr>
          <w:rFonts w:hint="eastAsia" w:ascii="仿宋" w:hAnsi="仿宋" w:eastAsia="仿宋"/>
          <w:b/>
          <w:color w:val="auto"/>
          <w:sz w:val="44"/>
          <w:szCs w:val="44"/>
        </w:rPr>
        <w:t>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keepNext w:val="0"/>
        <w:keepLines w:val="0"/>
        <w:pageBreakBefore w:val="0"/>
        <w:widowControl/>
        <w:kinsoku/>
        <w:wordWrap/>
        <w:overflowPunct/>
        <w:topLinePunct w:val="0"/>
        <w:autoSpaceDE/>
        <w:autoSpaceDN/>
        <w:bidi w:val="0"/>
        <w:adjustRightInd/>
        <w:snapToGrid/>
        <w:spacing w:line="400" w:lineRule="exact"/>
        <w:ind w:firstLine="2689" w:firstLineChars="744"/>
        <w:textAlignment w:val="auto"/>
        <w:rPr>
          <w:rFonts w:hint="default" w:ascii="仿宋" w:hAnsi="仿宋" w:eastAsia="仿宋"/>
          <w:b/>
          <w:color w:val="auto"/>
          <w:sz w:val="36"/>
          <w:szCs w:val="36"/>
          <w:lang w:val="en-US" w:eastAsia="zh-CN"/>
        </w:rPr>
      </w:pPr>
      <w:r>
        <w:rPr>
          <w:rFonts w:hint="eastAsia" w:ascii="仿宋" w:hAnsi="仿宋" w:eastAsia="仿宋"/>
          <w:b/>
          <w:sz w:val="36"/>
          <w:szCs w:val="36"/>
        </w:rPr>
        <w:t>项目编号</w:t>
      </w:r>
      <w:r>
        <w:rPr>
          <w:rFonts w:hint="eastAsia" w:ascii="仿宋" w:hAnsi="仿宋" w:eastAsia="仿宋"/>
          <w:b/>
          <w:color w:val="auto"/>
          <w:sz w:val="36"/>
          <w:szCs w:val="36"/>
        </w:rPr>
        <w:t>：</w:t>
      </w:r>
      <w:r>
        <w:rPr>
          <w:rFonts w:hint="eastAsia" w:ascii="仿宋" w:hAnsi="仿宋" w:eastAsia="仿宋"/>
          <w:b/>
          <w:color w:val="auto"/>
          <w:sz w:val="36"/>
          <w:szCs w:val="36"/>
          <w:lang w:val="en-US" w:eastAsia="zh-CN"/>
        </w:rPr>
        <w:t>A-XJ2021-16</w:t>
      </w:r>
    </w:p>
    <w:p>
      <w:pPr>
        <w:keepNext w:val="0"/>
        <w:keepLines w:val="0"/>
        <w:pageBreakBefore w:val="0"/>
        <w:widowControl/>
        <w:kinsoku/>
        <w:wordWrap/>
        <w:overflowPunct/>
        <w:topLinePunct w:val="0"/>
        <w:autoSpaceDE/>
        <w:autoSpaceDN/>
        <w:bidi w:val="0"/>
        <w:adjustRightInd/>
        <w:snapToGrid/>
        <w:spacing w:line="400" w:lineRule="exact"/>
        <w:ind w:left="2510" w:leftChars="1141" w:firstLine="0" w:firstLineChars="0"/>
        <w:textAlignment w:val="auto"/>
        <w:rPr>
          <w:rFonts w:hint="eastAsia" w:ascii="仿宋" w:hAnsi="仿宋" w:eastAsia="仿宋"/>
          <w:b/>
          <w:color w:val="auto"/>
          <w:sz w:val="36"/>
          <w:szCs w:val="36"/>
          <w:lang w:val="en-US" w:eastAsia="zh-CN"/>
        </w:rPr>
      </w:pPr>
      <w:bookmarkStart w:id="1" w:name="_Toc160880118"/>
      <w:bookmarkStart w:id="2" w:name="_Toc169332792"/>
      <w:bookmarkStart w:id="3" w:name="_Toc160880485"/>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67059519"/>
      <w:bookmarkStart w:id="5" w:name="_Toc254790852"/>
      <w:bookmarkStart w:id="6" w:name="_Toc249325665"/>
      <w:bookmarkStart w:id="7" w:name="_Toc225669277"/>
      <w:bookmarkStart w:id="8" w:name="_Toc169332794"/>
      <w:bookmarkStart w:id="9" w:name="_Toc219800200"/>
      <w:bookmarkStart w:id="10" w:name="_Toc273178686"/>
      <w:bookmarkStart w:id="11" w:name="_Toc267059633"/>
      <w:bookmarkStart w:id="12" w:name="_Toc267059161"/>
      <w:bookmarkStart w:id="13" w:name="_Toc259692693"/>
      <w:bookmarkStart w:id="14" w:name="_Toc227058483"/>
      <w:bookmarkStart w:id="15" w:name="_Toc253066567"/>
      <w:bookmarkStart w:id="16" w:name="_Toc212530253"/>
      <w:bookmarkStart w:id="17" w:name="_Toc216241307"/>
      <w:bookmarkStart w:id="18" w:name="_Toc266870861"/>
      <w:bookmarkStart w:id="19" w:name="_Toc266870386"/>
      <w:bookmarkStart w:id="20" w:name="_Toc217891359"/>
      <w:bookmarkStart w:id="21" w:name="_Toc236021402"/>
      <w:bookmarkStart w:id="22" w:name="_Toc267059786"/>
      <w:bookmarkStart w:id="23" w:name="_Toc212526081"/>
      <w:bookmarkStart w:id="24" w:name="_Toc170798743"/>
      <w:bookmarkStart w:id="25" w:name="_Toc169332904"/>
      <w:bookmarkStart w:id="26" w:name="_Toc267060407"/>
      <w:bookmarkStart w:id="27" w:name="_Toc251586187"/>
      <w:bookmarkStart w:id="28" w:name="_Toc267059010"/>
      <w:bookmarkStart w:id="29" w:name="_Toc207014580"/>
      <w:bookmarkStart w:id="30" w:name="_Toc255974963"/>
      <w:bookmarkStart w:id="31" w:name="_Toc160880487"/>
      <w:bookmarkStart w:id="32" w:name="_Toc235437942"/>
      <w:bookmarkStart w:id="33" w:name="_Toc223146565"/>
      <w:bookmarkStart w:id="34" w:name="_Toc212454753"/>
      <w:bookmarkStart w:id="35" w:name="_Toc212456146"/>
      <w:bookmarkStart w:id="36" w:name="_Toc266868924"/>
      <w:bookmarkStart w:id="37" w:name="_Toc267059899"/>
      <w:bookmarkStart w:id="38" w:name="_Toc251613780"/>
      <w:bookmarkStart w:id="39" w:name="_Toc259520819"/>
      <w:bookmarkStart w:id="40" w:name="_Toc177985424"/>
      <w:bookmarkStart w:id="41" w:name="_Toc266868624"/>
      <w:bookmarkStart w:id="42" w:name="_Toc211937196"/>
      <w:bookmarkStart w:id="43" w:name="_Toc259692600"/>
      <w:bookmarkStart w:id="44" w:name="_Toc235438297"/>
      <w:bookmarkStart w:id="45" w:name="_Toc235438227"/>
      <w:bookmarkStart w:id="46" w:name="_Toc258401210"/>
      <w:bookmarkStart w:id="47" w:name="_Toc267060162"/>
      <w:bookmarkStart w:id="48" w:name="_Toc267060022"/>
      <w:r>
        <w:rPr>
          <w:rFonts w:hint="eastAsia" w:ascii="仿宋" w:hAnsi="仿宋" w:eastAsia="仿宋"/>
          <w:b/>
          <w:color w:val="auto"/>
          <w:sz w:val="36"/>
          <w:szCs w:val="36"/>
          <w:lang w:val="en-US" w:eastAsia="zh-CN"/>
        </w:rPr>
        <w:t>肇庆校区教师工作室电器</w:t>
      </w:r>
    </w:p>
    <w:p>
      <w:pPr>
        <w:keepNext w:val="0"/>
        <w:keepLines w:val="0"/>
        <w:pageBreakBefore w:val="0"/>
        <w:widowControl/>
        <w:kinsoku/>
        <w:wordWrap/>
        <w:overflowPunct/>
        <w:topLinePunct w:val="0"/>
        <w:autoSpaceDE/>
        <w:autoSpaceDN/>
        <w:bidi w:val="0"/>
        <w:adjustRightInd/>
        <w:snapToGrid/>
        <w:spacing w:line="400" w:lineRule="exact"/>
        <w:ind w:left="2510" w:leftChars="1141" w:firstLine="1807" w:firstLineChars="500"/>
        <w:textAlignment w:val="auto"/>
        <w:rPr>
          <w:rFonts w:hint="default" w:ascii="仿宋" w:hAnsi="仿宋" w:eastAsia="仿宋"/>
          <w:b/>
          <w:color w:val="auto"/>
          <w:sz w:val="36"/>
          <w:szCs w:val="36"/>
          <w:lang w:val="en-US"/>
        </w:rPr>
        <w:sectPr>
          <w:headerReference r:id="rId3" w:type="default"/>
          <w:footerReference r:id="rId4" w:type="default"/>
          <w:pgSz w:w="11906" w:h="16838"/>
          <w:pgMar w:top="1440" w:right="1416" w:bottom="1440" w:left="1134" w:header="851" w:footer="227" w:gutter="0"/>
          <w:cols w:space="425" w:num="1"/>
          <w:titlePg/>
          <w:docGrid w:type="lines" w:linePitch="312" w:charSpace="0"/>
        </w:sectPr>
      </w:pPr>
      <w:r>
        <w:rPr>
          <w:rFonts w:hint="eastAsia" w:ascii="仿宋" w:hAnsi="仿宋" w:eastAsia="仿宋"/>
          <w:b/>
          <w:color w:val="auto"/>
          <w:sz w:val="36"/>
          <w:szCs w:val="36"/>
          <w:lang w:val="en-US" w:eastAsia="zh-CN"/>
        </w:rPr>
        <w:t>采购及安装项目</w:t>
      </w:r>
    </w:p>
    <w:p>
      <w:pPr>
        <w:pStyle w:val="50"/>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000000"/>
          <w:sz w:val="28"/>
          <w:szCs w:val="28"/>
        </w:rPr>
      </w:pPr>
      <w:bookmarkStart w:id="49" w:name="_Hlk10840310"/>
      <w:r>
        <w:rPr>
          <w:rFonts w:hint="eastAsia" w:ascii="仿宋" w:hAnsi="仿宋" w:eastAsia="仿宋"/>
          <w:color w:val="auto"/>
          <w:sz w:val="28"/>
          <w:szCs w:val="28"/>
        </w:rPr>
        <w:t>广州应用科技学院是经教育部批准设立的全日制普通本科高校。创办于2000年。2000年属广州大学的二级学院。2004年经教育部批准设立为独立学院——广州大学松田学院。2020年 12月经教育部批准转设并更名为广州应用科技学院。根据需要，对</w:t>
      </w:r>
      <w:r>
        <w:rPr>
          <w:rFonts w:hint="eastAsia" w:ascii="仿宋" w:hAnsi="仿宋" w:eastAsia="仿宋"/>
          <w:color w:val="auto"/>
          <w:sz w:val="28"/>
          <w:szCs w:val="28"/>
          <w:lang w:val="en-US" w:eastAsia="zh-CN"/>
        </w:rPr>
        <w:t>肇庆校区教师工作室电器采购项目</w:t>
      </w:r>
      <w:r>
        <w:rPr>
          <w:rFonts w:hint="eastAsia" w:ascii="仿宋" w:hAnsi="仿宋" w:eastAsia="仿宋"/>
          <w:color w:val="auto"/>
          <w:sz w:val="28"/>
          <w:szCs w:val="28"/>
        </w:rPr>
        <w:t>进行询价，欢迎国内合格参与人参与。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000000"/>
          <w:sz w:val="28"/>
          <w:szCs w:val="28"/>
        </w:rPr>
        <w:t>一、项目</w:t>
      </w:r>
      <w:r>
        <w:rPr>
          <w:rFonts w:hint="eastAsia" w:ascii="仿宋" w:hAnsi="仿宋" w:eastAsia="仿宋"/>
          <w:color w:val="auto"/>
          <w:sz w:val="28"/>
          <w:szCs w:val="28"/>
        </w:rPr>
        <w:t>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A-XJ2021-16</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肇庆校区教师工作室电器采购及安装项目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数量及主要技术要求:详见《公开询价货物一览表》。</w:t>
      </w:r>
    </w:p>
    <w:p>
      <w:pPr>
        <w:widowControl w:val="0"/>
        <w:numPr>
          <w:ilvl w:val="0"/>
          <w:numId w:val="0"/>
        </w:numPr>
        <w:spacing w:after="0" w:line="500" w:lineRule="exact"/>
        <w:ind w:left="220" w:leftChars="0"/>
        <w:rPr>
          <w:rFonts w:ascii="仿宋" w:hAnsi="仿宋" w:eastAsia="仿宋"/>
          <w:color w:val="auto"/>
          <w:sz w:val="28"/>
          <w:szCs w:val="28"/>
        </w:rPr>
      </w:pPr>
      <w:r>
        <w:rPr>
          <w:rFonts w:hint="eastAsia" w:ascii="仿宋" w:hAnsi="仿宋" w:eastAsia="仿宋"/>
          <w:color w:val="auto"/>
          <w:sz w:val="28"/>
          <w:szCs w:val="28"/>
          <w:lang w:val="en-US" w:eastAsia="zh-CN"/>
        </w:rPr>
        <w:t xml:space="preserve">4. </w:t>
      </w:r>
      <w:r>
        <w:rPr>
          <w:rFonts w:hint="eastAsia" w:ascii="仿宋" w:hAnsi="仿宋" w:eastAsia="仿宋"/>
          <w:color w:val="auto"/>
          <w:sz w:val="28"/>
          <w:szCs w:val="28"/>
        </w:rPr>
        <w:t>参与人资格标准：</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（1）参与人应具有独立法人资格。</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（2）参与人应具有提供电器及售后维护等相关服务的资格及能力，并具备相应的维护保养能力。</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（3）参与人应遵守中国的有关法律、法规和规章的规定。</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（4）参与人具有1年以上（包括1年）1个以上同类项目销售和良好的售后服务应用成功案例,近三年未发生重大安全或质量事故。</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（5）参与人须有良好的商业信誉和健全的财务制度。</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（6）参与人有依法缴纳税金和社会保障资金的良好记录。</w:t>
      </w:r>
    </w:p>
    <w:p>
      <w:pPr>
        <w:widowControl w:val="0"/>
        <w:numPr>
          <w:ilvl w:val="0"/>
          <w:numId w:val="0"/>
        </w:numPr>
        <w:spacing w:after="0" w:line="500" w:lineRule="exact"/>
        <w:ind w:left="220" w:leftChars="0"/>
        <w:rPr>
          <w:rFonts w:hint="eastAsia" w:ascii="仿宋" w:hAnsi="仿宋" w:eastAsia="仿宋"/>
          <w:color w:val="0000FF"/>
          <w:sz w:val="28"/>
          <w:szCs w:val="28"/>
          <w:lang w:val="en-US" w:eastAsia="zh-CN"/>
        </w:rPr>
      </w:pPr>
      <w:r>
        <w:rPr>
          <w:rFonts w:hint="eastAsia" w:ascii="仿宋" w:hAnsi="仿宋" w:eastAsia="仿宋"/>
          <w:color w:val="auto"/>
          <w:sz w:val="28"/>
          <w:szCs w:val="28"/>
          <w:lang w:val="en-US" w:eastAsia="zh-CN"/>
        </w:rPr>
        <w:t xml:space="preserve">5. </w:t>
      </w:r>
      <w:r>
        <w:rPr>
          <w:rFonts w:hint="eastAsia" w:ascii="仿宋" w:hAnsi="仿宋" w:eastAsia="仿宋"/>
          <w:color w:val="0000FF"/>
          <w:sz w:val="28"/>
          <w:szCs w:val="28"/>
          <w:lang w:val="en-US" w:eastAsia="zh-CN"/>
        </w:rPr>
        <w:t>勘探现场联系人：广东省肇庆市鼎湖区莲花镇广州应用科技学院肇庆校区，彭凌，15913126698</w:t>
      </w:r>
    </w:p>
    <w:p>
      <w:pPr>
        <w:widowControl w:val="0"/>
        <w:numPr>
          <w:ilvl w:val="0"/>
          <w:numId w:val="0"/>
        </w:numPr>
        <w:spacing w:after="0" w:line="500" w:lineRule="exact"/>
        <w:ind w:left="220" w:leftChars="0"/>
        <w:rPr>
          <w:rFonts w:hint="default" w:ascii="仿宋" w:hAnsi="仿宋" w:eastAsia="仿宋"/>
          <w:color w:val="0000FF"/>
          <w:sz w:val="28"/>
          <w:szCs w:val="28"/>
          <w:lang w:val="en-US" w:eastAsia="zh-CN"/>
        </w:rPr>
      </w:pPr>
      <w:r>
        <w:rPr>
          <w:rFonts w:hint="eastAsia" w:ascii="仿宋" w:hAnsi="仿宋" w:eastAsia="仿宋"/>
          <w:color w:val="0000FF"/>
          <w:sz w:val="28"/>
          <w:szCs w:val="28"/>
          <w:lang w:val="en-US" w:eastAsia="zh-CN"/>
        </w:rPr>
        <w:t>报名截止时间：</w:t>
      </w:r>
      <w:r>
        <w:rPr>
          <w:rFonts w:hint="eastAsia" w:ascii="仿宋" w:hAnsi="仿宋" w:eastAsia="仿宋"/>
          <w:color w:val="0000FF"/>
          <w:sz w:val="28"/>
          <w:szCs w:val="28"/>
          <w:u w:val="single"/>
          <w:lang w:val="en-US" w:eastAsia="zh-CN"/>
        </w:rPr>
        <w:t>2021年6月9日16:30，联系人：陈惠琳，17818588710</w:t>
      </w:r>
    </w:p>
    <w:p>
      <w:pPr>
        <w:widowControl w:val="0"/>
        <w:numPr>
          <w:ilvl w:val="0"/>
          <w:numId w:val="0"/>
        </w:numPr>
        <w:spacing w:after="0" w:line="500" w:lineRule="exact"/>
        <w:ind w:left="220" w:leftChars="0"/>
        <w:rPr>
          <w:rFonts w:hint="default" w:ascii="仿宋" w:hAnsi="仿宋" w:eastAsia="仿宋"/>
          <w:color w:val="0000FF"/>
          <w:sz w:val="28"/>
          <w:szCs w:val="28"/>
          <w:lang w:val="en-US" w:eastAsia="zh-CN"/>
        </w:rPr>
      </w:pPr>
      <w:r>
        <w:rPr>
          <w:rFonts w:hint="eastAsia" w:ascii="仿宋" w:hAnsi="仿宋" w:eastAsia="仿宋"/>
          <w:color w:val="0000FF"/>
          <w:sz w:val="28"/>
          <w:szCs w:val="28"/>
          <w:lang w:val="en-US" w:eastAsia="zh-CN"/>
        </w:rPr>
        <w:t>响应文件截止时间：</w:t>
      </w:r>
      <w:r>
        <w:rPr>
          <w:rFonts w:hint="eastAsia" w:ascii="仿宋" w:hAnsi="仿宋" w:eastAsia="仿宋"/>
          <w:color w:val="0000FF"/>
          <w:sz w:val="28"/>
          <w:szCs w:val="28"/>
          <w:u w:val="single"/>
          <w:lang w:val="en-US" w:eastAsia="zh-CN"/>
        </w:rPr>
        <w:t>2021年6月11日上午11:00前密封报价，现场递交</w:t>
      </w:r>
      <w:r>
        <w:rPr>
          <w:rFonts w:hint="eastAsia" w:ascii="仿宋" w:hAnsi="仿宋" w:eastAsia="仿宋"/>
          <w:color w:val="0000FF"/>
          <w:sz w:val="28"/>
          <w:szCs w:val="28"/>
          <w:lang w:val="en-US" w:eastAsia="zh-CN"/>
        </w:rPr>
        <w:t>。</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0000FF"/>
          <w:sz w:val="28"/>
          <w:szCs w:val="28"/>
          <w:lang w:val="en-US" w:eastAsia="zh-CN"/>
        </w:rPr>
        <w:t>响应文件</w:t>
      </w:r>
      <w:r>
        <w:rPr>
          <w:rFonts w:hint="eastAsia" w:ascii="仿宋" w:hAnsi="仿宋" w:eastAsia="仿宋"/>
          <w:color w:val="auto"/>
          <w:sz w:val="28"/>
          <w:szCs w:val="28"/>
          <w:lang w:val="en-US" w:eastAsia="zh-CN"/>
        </w:rPr>
        <w:t>递交地点：</w:t>
      </w:r>
      <w:r>
        <w:rPr>
          <w:rFonts w:hint="eastAsia" w:ascii="仿宋" w:hAnsi="仿宋" w:eastAsia="仿宋"/>
          <w:color w:val="auto"/>
          <w:sz w:val="28"/>
          <w:szCs w:val="28"/>
          <w:u w:val="single"/>
          <w:lang w:val="en-US" w:eastAsia="zh-CN"/>
        </w:rPr>
        <w:t>广州市增城区朱村街朱村大道东432号广州应用科技学院增城校区资产管理与采购处办公室</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联系人：</w:t>
      </w:r>
      <w:r>
        <w:rPr>
          <w:rFonts w:hint="eastAsia" w:ascii="仿宋" w:hAnsi="仿宋" w:eastAsia="仿宋"/>
          <w:color w:val="auto"/>
          <w:sz w:val="28"/>
          <w:szCs w:val="28"/>
          <w:u w:val="single"/>
          <w:lang w:val="en-US" w:eastAsia="zh-CN"/>
        </w:rPr>
        <w:t>陈惠琳</w:t>
      </w:r>
      <w:r>
        <w:rPr>
          <w:rFonts w:hint="eastAsia" w:ascii="仿宋" w:hAnsi="仿宋" w:eastAsia="仿宋"/>
          <w:color w:val="auto"/>
          <w:sz w:val="28"/>
          <w:szCs w:val="28"/>
          <w:lang w:val="en-US" w:eastAsia="zh-CN"/>
        </w:rPr>
        <w:t>；联系电话：</w:t>
      </w:r>
      <w:r>
        <w:rPr>
          <w:rFonts w:hint="eastAsia" w:ascii="仿宋" w:hAnsi="仿宋" w:eastAsia="仿宋"/>
          <w:color w:val="auto"/>
          <w:sz w:val="28"/>
          <w:szCs w:val="28"/>
          <w:u w:val="single"/>
          <w:lang w:val="en-US" w:eastAsia="zh-CN"/>
        </w:rPr>
        <w:t>17818588710</w:t>
      </w:r>
      <w:r>
        <w:rPr>
          <w:rFonts w:hint="eastAsia" w:ascii="仿宋" w:hAnsi="仿宋" w:eastAsia="仿宋"/>
          <w:color w:val="auto"/>
          <w:sz w:val="28"/>
          <w:szCs w:val="28"/>
          <w:lang w:val="en-US" w:eastAsia="zh-CN"/>
        </w:rPr>
        <w:t>。</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进校报备：发送到邮箱sontan@aliyun.com</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申请入校报备</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入校事由：</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入校时间：</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车辆信息：</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人员名单：</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报备部门：资产管理与采购处</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申请人：</w:t>
      </w:r>
      <w:r>
        <w:rPr>
          <w:rFonts w:hint="eastAsia" w:ascii="仿宋" w:hAnsi="仿宋" w:eastAsia="仿宋"/>
          <w:color w:val="auto"/>
          <w:sz w:val="28"/>
          <w:szCs w:val="28"/>
          <w:lang w:val="en-US" w:eastAsia="zh-CN"/>
        </w:rPr>
        <w:t>陈惠琳</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default" w:ascii="仿宋" w:hAnsi="仿宋" w:eastAsia="仿宋"/>
          <w:color w:val="auto"/>
          <w:sz w:val="28"/>
          <w:szCs w:val="28"/>
          <w:lang w:val="en-US" w:eastAsia="zh-CN"/>
        </w:rPr>
        <w:t>联系电话：</w:t>
      </w:r>
      <w:r>
        <w:rPr>
          <w:rFonts w:hint="eastAsia" w:ascii="仿宋" w:hAnsi="仿宋" w:eastAsia="仿宋"/>
          <w:color w:val="auto"/>
          <w:sz w:val="28"/>
          <w:szCs w:val="28"/>
          <w:lang w:val="en-US" w:eastAsia="zh-CN"/>
        </w:rPr>
        <w:t>17818979875</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所有货物均以</w:t>
      </w:r>
      <w:r>
        <w:rPr>
          <w:rFonts w:hint="eastAsia" w:ascii="仿宋" w:hAnsi="仿宋" w:eastAsia="仿宋"/>
          <w:sz w:val="28"/>
          <w:szCs w:val="28"/>
          <w:lang w:val="en-US" w:eastAsia="zh-CN"/>
        </w:rPr>
        <w:t>含税</w:t>
      </w:r>
      <w:r>
        <w:rPr>
          <w:rFonts w:hint="eastAsia" w:ascii="仿宋" w:hAnsi="仿宋" w:eastAsia="仿宋"/>
          <w:sz w:val="28"/>
          <w:szCs w:val="28"/>
        </w:rPr>
        <w:t>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报价响应文件</w:t>
      </w:r>
      <w:r>
        <w:rPr>
          <w:rFonts w:hint="eastAsia" w:ascii="仿宋" w:hAnsi="仿宋" w:eastAsia="仿宋"/>
          <w:color w:val="FF0000"/>
          <w:sz w:val="28"/>
          <w:szCs w:val="28"/>
          <w:lang w:val="en-US" w:eastAsia="zh-CN"/>
        </w:rPr>
        <w:t>4</w:t>
      </w:r>
      <w:r>
        <w:rPr>
          <w:rFonts w:hint="eastAsia" w:ascii="仿宋" w:hAnsi="仿宋" w:eastAsia="仿宋"/>
          <w:sz w:val="28"/>
          <w:szCs w:val="28"/>
        </w:rPr>
        <w:t>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w:t>
      </w:r>
      <w:r>
        <w:rPr>
          <w:rFonts w:hint="eastAsia" w:ascii="仿宋" w:hAnsi="仿宋" w:eastAsia="仿宋"/>
          <w:color w:val="FF0000"/>
          <w:sz w:val="28"/>
          <w:szCs w:val="28"/>
          <w:lang w:val="en-US" w:eastAsia="zh-CN"/>
        </w:rPr>
        <w:t>1</w:t>
      </w:r>
      <w:r>
        <w:rPr>
          <w:rFonts w:hint="eastAsia" w:ascii="仿宋" w:hAnsi="仿宋" w:eastAsia="仿宋"/>
          <w:sz w:val="28"/>
          <w:szCs w:val="28"/>
        </w:rPr>
        <w:t>份副本</w:t>
      </w:r>
      <w:r>
        <w:rPr>
          <w:rFonts w:hint="eastAsia" w:ascii="仿宋" w:hAnsi="仿宋" w:eastAsia="仿宋"/>
          <w:color w:val="FF0000"/>
          <w:sz w:val="28"/>
          <w:szCs w:val="28"/>
          <w:lang w:val="en-US" w:eastAsia="zh-CN"/>
        </w:rPr>
        <w:t>2</w:t>
      </w:r>
      <w:r>
        <w:rPr>
          <w:rFonts w:hint="eastAsia" w:ascii="仿宋" w:hAnsi="仿宋" w:eastAsia="仿宋"/>
          <w:sz w:val="28"/>
          <w:szCs w:val="28"/>
        </w:rPr>
        <w:t>份</w:t>
      </w:r>
      <w:r>
        <w:rPr>
          <w:rFonts w:hint="eastAsia" w:ascii="仿宋" w:hAnsi="仿宋" w:eastAsia="仿宋"/>
          <w:sz w:val="28"/>
          <w:szCs w:val="28"/>
          <w:lang w:eastAsia="zh-CN"/>
        </w:rPr>
        <w:t>，</w:t>
      </w:r>
      <w:r>
        <w:rPr>
          <w:rFonts w:hint="eastAsia" w:ascii="仿宋" w:hAnsi="仿宋" w:eastAsia="仿宋"/>
          <w:sz w:val="28"/>
          <w:szCs w:val="28"/>
          <w:lang w:val="en-US" w:eastAsia="zh-CN"/>
        </w:rPr>
        <w:t>报价分项一览表</w:t>
      </w:r>
      <w:r>
        <w:rPr>
          <w:rFonts w:hint="eastAsia" w:ascii="仿宋" w:hAnsi="仿宋" w:eastAsia="仿宋"/>
          <w:color w:val="FF0000"/>
          <w:sz w:val="28"/>
          <w:szCs w:val="28"/>
          <w:lang w:val="en-US" w:eastAsia="zh-CN"/>
        </w:rPr>
        <w:t>1</w:t>
      </w:r>
      <w:r>
        <w:rPr>
          <w:rFonts w:hint="eastAsia" w:ascii="仿宋" w:hAnsi="仿宋" w:eastAsia="仿宋"/>
          <w:sz w:val="28"/>
          <w:szCs w:val="28"/>
          <w:lang w:val="en-US" w:eastAsia="zh-CN"/>
        </w:rPr>
        <w:t>份</w:t>
      </w:r>
      <w:r>
        <w:rPr>
          <w:rFonts w:hint="eastAsia" w:ascii="仿宋" w:hAnsi="仿宋" w:eastAsia="仿宋"/>
          <w:sz w:val="28"/>
          <w:szCs w:val="28"/>
        </w:rPr>
        <w:t>）；</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hint="eastAsia" w:ascii="仿宋" w:hAnsi="仿宋" w:eastAsia="仿宋"/>
          <w:color w:val="auto"/>
          <w:sz w:val="28"/>
          <w:szCs w:val="28"/>
          <w:lang w:val="en-US" w:eastAsia="zh-CN"/>
        </w:rPr>
      </w:pPr>
      <w:r>
        <w:rPr>
          <w:rFonts w:hint="eastAsia" w:ascii="仿宋" w:hAnsi="仿宋" w:eastAsia="仿宋"/>
          <w:color w:val="auto"/>
          <w:sz w:val="28"/>
          <w:szCs w:val="28"/>
        </w:rPr>
        <w:t>三、售后服务要</w:t>
      </w:r>
      <w:r>
        <w:rPr>
          <w:rFonts w:hint="eastAsia" w:ascii="仿宋" w:hAnsi="仿宋" w:eastAsia="仿宋"/>
          <w:color w:val="auto"/>
          <w:sz w:val="28"/>
          <w:szCs w:val="28"/>
          <w:lang w:val="en-US" w:eastAsia="zh-CN"/>
        </w:rPr>
        <w:t>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hint="eastAsia"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五、付款方式</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 全部货物到货安装调试完毕，经学校签字确认且收到供货商开具合同全额增值税普通发票后，20个工作日内学校向供货商支付合同总金额的50％。                                                                                                       2. 全部货物正常使用一个月后，经学校验收合格签署验收表后，20个工作日内学校向供货商支付合同总金额的45％。</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3. 验收合格算起一年后，学校组织二次验收，二次验收通过后，20个工作日内学校向供货商无息退还质保金，即合同总金额的5％，供货商需提供质保金退款申请函。</w:t>
      </w:r>
    </w:p>
    <w:p>
      <w:pPr>
        <w:widowControl w:val="0"/>
        <w:numPr>
          <w:ilvl w:val="0"/>
          <w:numId w:val="0"/>
        </w:numPr>
        <w:spacing w:after="0" w:line="500" w:lineRule="exact"/>
        <w:ind w:left="220" w:leftChars="0" w:firstLine="560" w:firstLineChars="20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本项目最终成交结果会在中教集团后勤贤知平台“中标信息公示”板块公示，网</w:t>
      </w:r>
      <w:bookmarkStart w:id="324" w:name="_GoBack"/>
      <w:bookmarkEnd w:id="324"/>
      <w:r>
        <w:rPr>
          <w:rFonts w:hint="eastAsia" w:ascii="仿宋" w:hAnsi="仿宋" w:eastAsia="仿宋"/>
          <w:color w:val="auto"/>
          <w:sz w:val="28"/>
          <w:szCs w:val="28"/>
          <w:lang w:val="en-US" w:eastAsia="zh-CN"/>
        </w:rPr>
        <w:t>址：www.ceghqxz.com。本项目监督投诉部门：中教集团内控部；投诉电话：0791-88102608；投诉邮箱：Neikongbu@educationgroup.cn</w:t>
      </w:r>
    </w:p>
    <w:p>
      <w:pPr>
        <w:widowControl w:val="0"/>
        <w:spacing w:after="0" w:line="500" w:lineRule="exact"/>
        <w:ind w:left="426" w:firstLine="560" w:firstLineChars="200"/>
        <w:jc w:val="left"/>
        <w:rPr>
          <w:rFonts w:hint="eastAsia" w:ascii="仿宋" w:hAnsi="仿宋" w:eastAsia="仿宋"/>
          <w:color w:val="auto"/>
          <w:sz w:val="28"/>
          <w:szCs w:val="28"/>
        </w:rPr>
      </w:pPr>
    </w:p>
    <w:p>
      <w:pPr>
        <w:rPr>
          <w:rFonts w:ascii="仿宋" w:hAnsi="仿宋" w:eastAsia="仿宋"/>
          <w:color w:val="auto"/>
          <w:sz w:val="28"/>
          <w:szCs w:val="28"/>
        </w:rPr>
      </w:pPr>
      <w:r>
        <w:rPr>
          <w:rFonts w:ascii="仿宋" w:hAnsi="仿宋" w:eastAsia="仿宋"/>
          <w:color w:val="auto"/>
          <w:sz w:val="28"/>
          <w:szCs w:val="28"/>
        </w:rPr>
        <w:br w:type="page"/>
      </w:r>
    </w:p>
    <w:p>
      <w:pPr>
        <w:pStyle w:val="50"/>
        <w:spacing w:line="360" w:lineRule="auto"/>
        <w:outlineLvl w:val="0"/>
        <w:rPr>
          <w:rFonts w:ascii="仿宋" w:hAnsi="仿宋" w:eastAsia="仿宋"/>
          <w:b/>
          <w:color w:val="auto"/>
          <w:sz w:val="44"/>
          <w:szCs w:val="44"/>
        </w:rPr>
      </w:pPr>
      <w:r>
        <w:rPr>
          <w:rFonts w:hint="eastAsia" w:ascii="仿宋" w:hAnsi="仿宋" w:eastAsia="仿宋"/>
          <w:b/>
          <w:color w:val="auto"/>
          <w:sz w:val="44"/>
          <w:szCs w:val="44"/>
        </w:rPr>
        <w:t>二、公开询价货物一览表</w:t>
      </w:r>
      <w:bookmarkEnd w:id="49"/>
    </w:p>
    <w:tbl>
      <w:tblPr>
        <w:tblStyle w:val="23"/>
        <w:tblpPr w:leftFromText="180" w:rightFromText="180" w:vertAnchor="text" w:horzAnchor="page" w:tblpX="1416" w:tblpY="477"/>
        <w:tblOverlap w:val="never"/>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5052"/>
        <w:gridCol w:w="626"/>
        <w:gridCol w:w="692"/>
        <w:gridCol w:w="794"/>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9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大字内容</w:t>
            </w:r>
          </w:p>
        </w:tc>
        <w:tc>
          <w:tcPr>
            <w:tcW w:w="5052"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材料参数</w:t>
            </w:r>
          </w:p>
        </w:tc>
        <w:tc>
          <w:tcPr>
            <w:tcW w:w="626"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692"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rPr>
              <w:t>数量</w:t>
            </w:r>
          </w:p>
        </w:tc>
        <w:tc>
          <w:tcPr>
            <w:tcW w:w="794"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单价</w:t>
            </w:r>
          </w:p>
        </w:tc>
        <w:tc>
          <w:tcPr>
            <w:tcW w:w="86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抽油烟机</w:t>
            </w:r>
          </w:p>
        </w:tc>
        <w:tc>
          <w:tcPr>
            <w:tcW w:w="505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b w:val="0"/>
                <w:bCs w:val="0"/>
                <w:color w:val="auto"/>
                <w:sz w:val="24"/>
                <w:szCs w:val="24"/>
                <w:lang w:val="en-US" w:eastAsia="zh-CN"/>
              </w:rPr>
            </w:pPr>
            <w:r>
              <w:rPr>
                <w:rStyle w:val="60"/>
                <w:rFonts w:hint="eastAsia" w:ascii="宋体" w:hAnsi="宋体" w:eastAsia="宋体" w:cs="宋体"/>
                <w:color w:val="auto"/>
                <w:sz w:val="24"/>
                <w:szCs w:val="24"/>
                <w:lang w:val="en-US" w:eastAsia="zh-CN" w:bidi="ar"/>
              </w:rPr>
              <w:t>约900*355*1000mm，侧吸，智能控制（需配合吊柜，尺寸左右不超10CM）</w:t>
            </w:r>
          </w:p>
        </w:tc>
        <w:tc>
          <w:tcPr>
            <w:tcW w:w="62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Style w:val="61"/>
                <w:rFonts w:hint="eastAsia" w:ascii="宋体" w:hAnsi="宋体" w:eastAsia="宋体" w:cs="宋体"/>
                <w:sz w:val="24"/>
                <w:szCs w:val="24"/>
                <w:lang w:val="en-US" w:eastAsia="zh-CN" w:bidi="ar"/>
              </w:rPr>
              <w:t>台</w:t>
            </w:r>
          </w:p>
        </w:tc>
        <w:tc>
          <w:tcPr>
            <w:tcW w:w="69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27</w:t>
            </w:r>
          </w:p>
        </w:tc>
        <w:tc>
          <w:tcPr>
            <w:tcW w:w="794"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6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微波炉</w:t>
            </w:r>
          </w:p>
        </w:tc>
        <w:tc>
          <w:tcPr>
            <w:tcW w:w="505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center"/>
              <w:rPr>
                <w:rStyle w:val="63"/>
                <w:rFonts w:hint="eastAsia" w:ascii="宋体" w:hAnsi="宋体" w:eastAsia="宋体" w:cs="宋体"/>
                <w:color w:val="auto"/>
                <w:sz w:val="24"/>
                <w:szCs w:val="24"/>
                <w:lang w:val="en-US" w:eastAsia="zh-CN" w:bidi="ar"/>
              </w:rPr>
            </w:pPr>
            <w:r>
              <w:rPr>
                <w:rStyle w:val="63"/>
                <w:rFonts w:hint="eastAsia" w:ascii="宋体" w:hAnsi="宋体" w:eastAsia="宋体" w:cs="宋体"/>
                <w:color w:val="auto"/>
                <w:sz w:val="24"/>
                <w:szCs w:val="24"/>
                <w:lang w:val="en-US" w:eastAsia="zh-CN" w:bidi="ar"/>
              </w:rPr>
              <w:t>尺寸：约长45.9cm*宽37.4cm*高28.1cm</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center"/>
              <w:rPr>
                <w:rStyle w:val="63"/>
                <w:rFonts w:hint="eastAsia" w:ascii="宋体" w:hAnsi="宋体" w:eastAsia="宋体" w:cs="宋体"/>
                <w:color w:val="auto"/>
                <w:sz w:val="24"/>
                <w:szCs w:val="24"/>
                <w:lang w:val="en-US" w:eastAsia="zh-CN" w:bidi="ar"/>
              </w:rPr>
            </w:pPr>
            <w:r>
              <w:rPr>
                <w:rStyle w:val="63"/>
                <w:rFonts w:hint="eastAsia" w:ascii="宋体" w:hAnsi="宋体" w:eastAsia="宋体" w:cs="宋体"/>
                <w:color w:val="auto"/>
                <w:sz w:val="24"/>
                <w:szCs w:val="24"/>
                <w:lang w:val="en-US" w:eastAsia="zh-CN" w:bidi="ar"/>
              </w:rPr>
              <w:t>内腔尺寸：约长31.5cm*宽32.5cm*高20.2cm</w:t>
            </w:r>
          </w:p>
          <w:p>
            <w:pPr>
              <w:keepNext w:val="0"/>
              <w:keepLines w:val="0"/>
              <w:pageBreakBefore w:val="0"/>
              <w:widowControl/>
              <w:suppressLineNumbers w:val="0"/>
              <w:kinsoku/>
              <w:wordWrap/>
              <w:overflowPunct/>
              <w:topLinePunct w:val="0"/>
              <w:autoSpaceDE/>
              <w:autoSpaceDN/>
              <w:bidi w:val="0"/>
              <w:adjustRightInd/>
              <w:spacing w:line="400" w:lineRule="exact"/>
              <w:jc w:val="left"/>
              <w:textAlignment w:val="center"/>
              <w:rPr>
                <w:rFonts w:hint="eastAsia" w:ascii="宋体" w:hAnsi="宋体" w:eastAsia="宋体" w:cs="宋体"/>
                <w:b w:val="0"/>
                <w:bCs w:val="0"/>
                <w:color w:val="auto"/>
                <w:sz w:val="24"/>
                <w:szCs w:val="24"/>
                <w:lang w:val="en-US" w:eastAsia="zh-CN"/>
              </w:rPr>
            </w:pPr>
            <w:r>
              <w:rPr>
                <w:rStyle w:val="63"/>
                <w:rFonts w:hint="eastAsia" w:ascii="宋体" w:hAnsi="宋体" w:eastAsia="宋体" w:cs="宋体"/>
                <w:color w:val="auto"/>
                <w:sz w:val="24"/>
                <w:szCs w:val="24"/>
                <w:lang w:val="en-US" w:eastAsia="zh-CN" w:bidi="ar"/>
              </w:rPr>
              <w:t>21L容量</w:t>
            </w:r>
          </w:p>
        </w:tc>
        <w:tc>
          <w:tcPr>
            <w:tcW w:w="62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台</w:t>
            </w:r>
          </w:p>
        </w:tc>
        <w:tc>
          <w:tcPr>
            <w:tcW w:w="69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27</w:t>
            </w:r>
          </w:p>
        </w:tc>
        <w:tc>
          <w:tcPr>
            <w:tcW w:w="794"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6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消毒柜</w:t>
            </w:r>
          </w:p>
        </w:tc>
        <w:tc>
          <w:tcPr>
            <w:tcW w:w="505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center"/>
              <w:rPr>
                <w:rStyle w:val="61"/>
                <w:rFonts w:hint="eastAsia" w:ascii="宋体" w:hAnsi="宋体" w:eastAsia="宋体" w:cs="宋体"/>
                <w:color w:val="auto"/>
                <w:sz w:val="24"/>
                <w:szCs w:val="24"/>
                <w:lang w:val="en-US" w:eastAsia="zh-CN" w:bidi="ar"/>
              </w:rPr>
            </w:pPr>
            <w:r>
              <w:rPr>
                <w:rStyle w:val="61"/>
                <w:rFonts w:hint="eastAsia" w:ascii="宋体" w:hAnsi="宋体" w:eastAsia="宋体" w:cs="宋体"/>
                <w:color w:val="auto"/>
                <w:sz w:val="24"/>
                <w:szCs w:val="24"/>
                <w:lang w:val="en-US" w:eastAsia="zh-CN" w:bidi="ar"/>
              </w:rPr>
              <w:t>尺寸：约435*375*850mm</w:t>
            </w:r>
          </w:p>
          <w:p>
            <w:pPr>
              <w:keepNext w:val="0"/>
              <w:keepLines w:val="0"/>
              <w:pageBreakBefore w:val="0"/>
              <w:widowControl/>
              <w:suppressLineNumbers w:val="0"/>
              <w:kinsoku/>
              <w:wordWrap/>
              <w:overflowPunct/>
              <w:topLinePunct w:val="0"/>
              <w:autoSpaceDE/>
              <w:autoSpaceDN/>
              <w:bidi w:val="0"/>
              <w:adjustRightInd/>
              <w:spacing w:line="400" w:lineRule="exact"/>
              <w:jc w:val="both"/>
              <w:textAlignment w:val="center"/>
              <w:rPr>
                <w:rStyle w:val="61"/>
                <w:rFonts w:hint="default" w:ascii="宋体" w:hAnsi="宋体" w:eastAsia="宋体" w:cs="宋体"/>
                <w:color w:val="auto"/>
                <w:sz w:val="24"/>
                <w:szCs w:val="24"/>
                <w:lang w:val="en-US" w:eastAsia="zh-CN" w:bidi="ar"/>
              </w:rPr>
            </w:pPr>
            <w:r>
              <w:rPr>
                <w:rStyle w:val="61"/>
                <w:rFonts w:hint="eastAsia" w:ascii="宋体" w:hAnsi="宋体" w:eastAsia="宋体" w:cs="宋体"/>
                <w:color w:val="auto"/>
                <w:sz w:val="24"/>
                <w:szCs w:val="24"/>
                <w:lang w:val="en-US" w:eastAsia="zh-CN" w:bidi="ar"/>
              </w:rPr>
              <w:t>双层及以上：上层臭氧，下层高温，温控检测；</w:t>
            </w:r>
          </w:p>
        </w:tc>
        <w:tc>
          <w:tcPr>
            <w:tcW w:w="62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台</w:t>
            </w:r>
          </w:p>
        </w:tc>
        <w:tc>
          <w:tcPr>
            <w:tcW w:w="69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27</w:t>
            </w:r>
          </w:p>
        </w:tc>
        <w:tc>
          <w:tcPr>
            <w:tcW w:w="794"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6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trPr>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电磁炉</w:t>
            </w:r>
          </w:p>
        </w:tc>
        <w:tc>
          <w:tcPr>
            <w:tcW w:w="505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center"/>
              <w:rPr>
                <w:rFonts w:hint="default" w:ascii="宋体" w:hAnsi="宋体" w:eastAsia="宋体" w:cs="宋体"/>
                <w:b w:val="0"/>
                <w:bCs w:val="0"/>
                <w:color w:val="auto"/>
                <w:sz w:val="24"/>
                <w:szCs w:val="24"/>
                <w:lang w:val="en-US" w:eastAsia="zh-CN"/>
              </w:rPr>
            </w:pPr>
            <w:r>
              <w:rPr>
                <w:rStyle w:val="62"/>
                <w:rFonts w:hint="eastAsia" w:ascii="宋体" w:hAnsi="宋体" w:eastAsia="宋体" w:cs="宋体"/>
                <w:color w:val="auto"/>
                <w:sz w:val="24"/>
                <w:szCs w:val="24"/>
                <w:lang w:val="en-US" w:eastAsia="zh-CN" w:bidi="ar"/>
              </w:rPr>
              <w:t>触控操作；一体黑晶面板；火力大，含EMC，风机散热；</w:t>
            </w:r>
          </w:p>
        </w:tc>
        <w:tc>
          <w:tcPr>
            <w:tcW w:w="62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Style w:val="61"/>
                <w:rFonts w:hint="eastAsia" w:ascii="宋体" w:hAnsi="宋体" w:eastAsia="宋体" w:cs="宋体"/>
                <w:sz w:val="24"/>
                <w:szCs w:val="24"/>
                <w:lang w:val="en-US" w:eastAsia="zh-CN" w:bidi="ar"/>
              </w:rPr>
              <w:t>台</w:t>
            </w:r>
          </w:p>
        </w:tc>
        <w:tc>
          <w:tcPr>
            <w:tcW w:w="69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27</w:t>
            </w:r>
          </w:p>
        </w:tc>
        <w:tc>
          <w:tcPr>
            <w:tcW w:w="794"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6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冰箱</w:t>
            </w:r>
          </w:p>
        </w:tc>
        <w:tc>
          <w:tcPr>
            <w:tcW w:w="505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left"/>
              <w:textAlignment w:val="center"/>
              <w:rPr>
                <w:rStyle w:val="62"/>
                <w:rFonts w:hint="default" w:ascii="宋体" w:hAnsi="宋体" w:eastAsia="宋体" w:cs="宋体"/>
                <w:color w:val="auto"/>
                <w:sz w:val="24"/>
                <w:szCs w:val="24"/>
                <w:lang w:val="en-US" w:eastAsia="zh-CN" w:bidi="ar"/>
              </w:rPr>
            </w:pPr>
            <w:r>
              <w:rPr>
                <w:rStyle w:val="62"/>
                <w:rFonts w:hint="eastAsia" w:ascii="宋体" w:hAnsi="宋体" w:eastAsia="宋体" w:cs="宋体"/>
                <w:color w:val="auto"/>
                <w:sz w:val="24"/>
                <w:szCs w:val="24"/>
                <w:lang w:val="en-US" w:eastAsia="zh-CN" w:bidi="ar"/>
              </w:rPr>
              <w:t>180-200升，双层、直冷无霜</w:t>
            </w:r>
          </w:p>
        </w:tc>
        <w:tc>
          <w:tcPr>
            <w:tcW w:w="626"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Style w:val="61"/>
                <w:rFonts w:hint="default" w:ascii="宋体" w:hAnsi="宋体" w:eastAsia="宋体" w:cs="宋体"/>
                <w:sz w:val="24"/>
                <w:szCs w:val="24"/>
                <w:lang w:val="en-US" w:eastAsia="zh-CN" w:bidi="ar"/>
              </w:rPr>
            </w:pPr>
            <w:r>
              <w:rPr>
                <w:rStyle w:val="61"/>
                <w:rFonts w:hint="eastAsia" w:ascii="宋体" w:hAnsi="宋体" w:eastAsia="宋体" w:cs="宋体"/>
                <w:sz w:val="24"/>
                <w:szCs w:val="24"/>
                <w:lang w:val="en-US" w:eastAsia="zh-CN" w:bidi="ar"/>
              </w:rPr>
              <w:t>台</w:t>
            </w:r>
          </w:p>
        </w:tc>
        <w:tc>
          <w:tcPr>
            <w:tcW w:w="692" w:type="dxa"/>
            <w:vAlign w:val="center"/>
          </w:tcPr>
          <w:p>
            <w:pPr>
              <w:keepNext w:val="0"/>
              <w:keepLines w:val="0"/>
              <w:pageBreakBefore w:val="0"/>
              <w:widowControl/>
              <w:suppressLineNumbers w:val="0"/>
              <w:kinsoku/>
              <w:wordWrap/>
              <w:overflowPunct/>
              <w:topLinePunct w:val="0"/>
              <w:autoSpaceDE/>
              <w:autoSpaceDN/>
              <w:bidi w:val="0"/>
              <w:adjustRightInd/>
              <w:spacing w:line="400" w:lineRule="exact"/>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28 </w:t>
            </w:r>
          </w:p>
        </w:tc>
        <w:tc>
          <w:tcPr>
            <w:tcW w:w="794"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c>
          <w:tcPr>
            <w:tcW w:w="861" w:type="dxa"/>
            <w:vAlign w:val="center"/>
          </w:tcPr>
          <w:p>
            <w:pPr>
              <w:keepNext w:val="0"/>
              <w:keepLines w:val="0"/>
              <w:pageBreakBefore w:val="0"/>
              <w:widowControl/>
              <w:kinsoku/>
              <w:wordWrap/>
              <w:overflowPunct/>
              <w:topLinePunct w:val="0"/>
              <w:autoSpaceDE/>
              <w:autoSpaceDN/>
              <w:bidi w:val="0"/>
              <w:adjustRightInd/>
              <w:snapToGrid w:val="0"/>
              <w:spacing w:after="0" w:line="400" w:lineRule="exact"/>
              <w:jc w:val="center"/>
              <w:rPr>
                <w:rFonts w:hint="eastAsia" w:ascii="宋体" w:hAnsi="宋体" w:eastAsia="宋体" w:cs="宋体"/>
                <w:b w:val="0"/>
                <w:bCs w:val="0"/>
                <w:color w:val="auto"/>
                <w:sz w:val="24"/>
                <w:szCs w:val="24"/>
                <w:lang w:val="en-US" w:eastAsia="zh-CN"/>
              </w:rPr>
            </w:pPr>
          </w:p>
        </w:tc>
      </w:tr>
    </w:tbl>
    <w:p>
      <w:pPr>
        <w:pStyle w:val="50"/>
        <w:numPr>
          <w:ilvl w:val="0"/>
          <w:numId w:val="0"/>
        </w:numPr>
        <w:spacing w:line="360" w:lineRule="auto"/>
        <w:jc w:val="right"/>
        <w:outlineLvl w:val="0"/>
        <w:rPr>
          <w:rFonts w:hint="eastAsia" w:ascii="仿宋" w:hAnsi="仿宋" w:eastAsia="仿宋"/>
          <w:b/>
          <w:color w:val="auto"/>
          <w:sz w:val="24"/>
          <w:szCs w:val="24"/>
          <w:lang w:val="en-US" w:eastAsia="zh-CN"/>
        </w:rPr>
      </w:pPr>
      <w:r>
        <w:rPr>
          <w:rFonts w:hint="eastAsia" w:ascii="仿宋" w:hAnsi="仿宋" w:eastAsia="仿宋"/>
          <w:b/>
          <w:color w:val="auto"/>
          <w:sz w:val="24"/>
          <w:szCs w:val="24"/>
          <w:lang w:val="en-US" w:eastAsia="zh-CN"/>
        </w:rPr>
        <w:t>单位：元</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注：</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1、以上报价包含税费、运费、搬运费、安装费、安装辅材等一切费用，提供足额的增值税普通发票。</w:t>
      </w:r>
    </w:p>
    <w:p>
      <w:pPr>
        <w:widowControl w:val="0"/>
        <w:numPr>
          <w:ilvl w:val="0"/>
          <w:numId w:val="0"/>
        </w:numPr>
        <w:spacing w:after="0" w:line="500" w:lineRule="exact"/>
        <w:ind w:left="220" w:leftChars="0"/>
        <w:rPr>
          <w:rFonts w:hint="eastAsia" w:ascii="仿宋" w:hAnsi="仿宋" w:eastAsia="仿宋"/>
          <w:color w:val="0000FF"/>
          <w:sz w:val="28"/>
          <w:szCs w:val="28"/>
          <w:lang w:val="en-US" w:eastAsia="zh-CN"/>
        </w:rPr>
      </w:pPr>
      <w:r>
        <w:rPr>
          <w:rFonts w:hint="eastAsia" w:ascii="仿宋" w:hAnsi="仿宋" w:eastAsia="仿宋"/>
          <w:color w:val="auto"/>
          <w:sz w:val="28"/>
          <w:szCs w:val="28"/>
          <w:lang w:val="en-US" w:eastAsia="zh-CN"/>
        </w:rPr>
        <w:t>2、</w:t>
      </w:r>
      <w:r>
        <w:rPr>
          <w:rFonts w:hint="eastAsia" w:ascii="仿宋" w:hAnsi="仿宋" w:eastAsia="仿宋"/>
          <w:color w:val="0000FF"/>
          <w:sz w:val="28"/>
          <w:szCs w:val="28"/>
          <w:lang w:val="en-US" w:eastAsia="zh-CN"/>
        </w:rPr>
        <w:t>报价须提供品牌、规格尺寸、材料参数和效果图片；否则将视为没有实质性响应询价文件。</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3、本次项目请注明备货期、工期、质保年限及售后服务。</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4、报价文件需含营业执照、案例、纳税记录。</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p>
    <w:p>
      <w:pPr>
        <w:rPr>
          <w:rFonts w:ascii="仿宋" w:hAnsi="仿宋" w:eastAsia="仿宋"/>
          <w:b/>
          <w:color w:val="FF0000"/>
          <w:sz w:val="36"/>
          <w:szCs w:val="36"/>
        </w:rPr>
        <w:sectPr>
          <w:headerReference r:id="rId5" w:type="first"/>
          <w:pgSz w:w="11906" w:h="16838"/>
          <w:pgMar w:top="1440" w:right="1416" w:bottom="1440" w:left="1134" w:header="851" w:footer="227" w:gutter="0"/>
          <w:cols w:space="425" w:num="1"/>
          <w:titlePg/>
          <w:docGrid w:type="lines" w:linePitch="312" w:charSpace="0"/>
        </w:sectPr>
      </w:pPr>
      <w:r>
        <w:rPr>
          <w:rFonts w:ascii="仿宋" w:hAnsi="仿宋" w:eastAsia="仿宋"/>
          <w:b/>
          <w:color w:val="FF0000"/>
          <w:sz w:val="36"/>
          <w:szCs w:val="36"/>
        </w:rPr>
        <w:br w:type="page"/>
      </w:r>
    </w:p>
    <w:p>
      <w:pPr>
        <w:spacing w:line="1000" w:lineRule="exact"/>
        <w:jc w:val="both"/>
        <w:rPr>
          <w:rFonts w:ascii="仿宋" w:hAnsi="仿宋" w:eastAsia="仿宋"/>
          <w:b/>
          <w:sz w:val="72"/>
          <w:szCs w:val="72"/>
        </w:rPr>
      </w:pPr>
    </w:p>
    <w:p>
      <w:pPr>
        <w:spacing w:line="1000" w:lineRule="exact"/>
        <w:jc w:val="center"/>
        <w:rPr>
          <w:rFonts w:ascii="仿宋" w:hAnsi="仿宋" w:eastAsia="仿宋"/>
          <w:b/>
          <w:sz w:val="72"/>
          <w:szCs w:val="72"/>
        </w:rPr>
      </w:pPr>
      <w:r>
        <w:rPr>
          <w:rFonts w:hint="eastAsia" w:ascii="仿宋" w:hAnsi="仿宋" w:eastAsia="仿宋"/>
          <w:b/>
          <w:sz w:val="72"/>
          <w:szCs w:val="72"/>
          <w:lang w:val="en-US" w:eastAsia="zh-CN"/>
        </w:rPr>
        <w:t>广州应用科技学院</w:t>
      </w:r>
    </w:p>
    <w:p>
      <w:pPr>
        <w:spacing w:line="1000" w:lineRule="exact"/>
        <w:jc w:val="center"/>
        <w:rPr>
          <w:rFonts w:hint="default" w:ascii="仿宋" w:hAnsi="仿宋" w:eastAsia="仿宋"/>
          <w:b/>
          <w:color w:val="auto"/>
          <w:sz w:val="44"/>
          <w:szCs w:val="44"/>
          <w:lang w:val="en-US" w:eastAsia="zh-CN"/>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肇庆校区教师工作室电器采购及安装项目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ind w:firstLine="1807" w:firstLineChars="600"/>
        <w:jc w:val="both"/>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7" w:type="first"/>
          <w:headerReference r:id="rId6"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hint="eastAsia" w:ascii="仿宋" w:hAnsi="仿宋" w:eastAsia="仿宋"/>
          <w:b/>
          <w:bCs/>
          <w:sz w:val="28"/>
          <w:szCs w:val="28"/>
        </w:rPr>
      </w:pPr>
      <w:bookmarkStart w:id="50" w:name="_Toc191803626"/>
      <w:bookmarkStart w:id="51" w:name="_Toc170798793"/>
      <w:bookmarkStart w:id="52" w:name="_Toc267060208"/>
      <w:bookmarkStart w:id="53" w:name="_Toc236021449"/>
      <w:bookmarkStart w:id="54" w:name="_Toc267059919"/>
      <w:bookmarkStart w:id="55" w:name="_Toc191789329"/>
      <w:bookmarkStart w:id="56" w:name="_Toc267059181"/>
      <w:bookmarkStart w:id="57" w:name="_Toc266870432"/>
      <w:bookmarkStart w:id="58" w:name="_Toc182805217"/>
      <w:bookmarkStart w:id="59" w:name="_Toc213756051"/>
      <w:bookmarkStart w:id="60" w:name="_Toc177985469"/>
      <w:bookmarkStart w:id="61" w:name="_Toc267059030"/>
      <w:bookmarkStart w:id="62" w:name="_Toc267060453"/>
      <w:bookmarkStart w:id="63" w:name="_Toc217891402"/>
      <w:bookmarkStart w:id="64" w:name="_Toc232302115"/>
      <w:bookmarkStart w:id="65" w:name="_Toc193165734"/>
      <w:bookmarkStart w:id="66" w:name="_Toc258401256"/>
      <w:bookmarkStart w:id="67" w:name="_Toc169332838"/>
      <w:bookmarkStart w:id="68" w:name="_Toc193160448"/>
      <w:bookmarkStart w:id="69" w:name="_Toc259520865"/>
      <w:bookmarkStart w:id="70" w:name="_Toc227058530"/>
      <w:bookmarkStart w:id="71" w:name="_Toc235438344"/>
      <w:bookmarkStart w:id="72" w:name="_Toc267059806"/>
      <w:bookmarkStart w:id="73" w:name="_Toc213755858"/>
      <w:bookmarkStart w:id="74" w:name="_Toc267059539"/>
      <w:bookmarkStart w:id="75" w:name="_Toc266870907"/>
      <w:bookmarkStart w:id="76" w:name="_Toc181436461"/>
      <w:bookmarkStart w:id="77" w:name="_Toc225669322"/>
      <w:bookmarkStart w:id="78" w:name="_Toc259692647"/>
      <w:bookmarkStart w:id="79" w:name="_Toc251586231"/>
      <w:bookmarkStart w:id="80" w:name="_Toc249325711"/>
      <w:bookmarkStart w:id="81" w:name="_Toc251613829"/>
      <w:bookmarkStart w:id="82" w:name="_Toc266870833"/>
      <w:bookmarkStart w:id="83" w:name="_Toc160880529"/>
      <w:bookmarkStart w:id="84" w:name="_Toc192996446"/>
      <w:bookmarkStart w:id="85" w:name="_Toc160880160"/>
      <w:bookmarkStart w:id="86" w:name="_Toc211917116"/>
      <w:bookmarkStart w:id="87" w:name="_Toc266868937"/>
      <w:bookmarkStart w:id="88" w:name="_Toc192663686"/>
      <w:bookmarkStart w:id="89" w:name="_Toc191802690"/>
      <w:bookmarkStart w:id="90" w:name="_Toc267060321"/>
      <w:bookmarkStart w:id="91" w:name="_Toc273178698"/>
      <w:bookmarkStart w:id="92" w:name="_Toc181436565"/>
      <w:bookmarkStart w:id="93" w:name="_Toc213755939"/>
      <w:bookmarkStart w:id="94" w:name="_Toc192996338"/>
      <w:bookmarkStart w:id="95" w:name="_Toc203355733"/>
      <w:bookmarkStart w:id="96" w:name="_Toc213208766"/>
      <w:bookmarkStart w:id="97" w:name="_Toc213755995"/>
      <w:bookmarkStart w:id="98" w:name="_Toc255975007"/>
      <w:bookmarkStart w:id="99" w:name="_Toc253066614"/>
      <w:bookmarkStart w:id="100" w:name="_Toc254790899"/>
      <w:bookmarkStart w:id="101" w:name="_Toc191783222"/>
      <w:bookmarkStart w:id="102" w:name="_Toc259692740"/>
      <w:bookmarkStart w:id="103" w:name="_Toc266868670"/>
      <w:bookmarkStart w:id="104" w:name="_Toc219800243"/>
      <w:bookmarkStart w:id="105" w:name="_Toc192664153"/>
      <w:bookmarkStart w:id="106" w:name="_Toc223146608"/>
      <w:bookmarkStart w:id="107" w:name="_Toc182372782"/>
      <w:bookmarkStart w:id="108" w:name="_Toc235437991"/>
      <w:bookmarkStart w:id="109" w:name="_Toc169332949"/>
      <w:bookmarkStart w:id="110" w:name="_Toc235438274"/>
      <w:bookmarkStart w:id="111" w:name="_Toc192663835"/>
      <w:bookmarkStart w:id="112" w:name="_Toc267060068"/>
      <w:bookmarkStart w:id="113" w:name="_Toc180302913"/>
      <w:bookmarkStart w:id="114" w:name="_Toc230071147"/>
      <w:bookmarkStart w:id="115" w:name="_Toc267059653"/>
    </w:p>
    <w:p>
      <w:pPr>
        <w:jc w:val="center"/>
        <w:outlineLvl w:val="1"/>
        <w:rPr>
          <w:rFonts w:hint="eastAsia" w:ascii="仿宋" w:hAnsi="仿宋" w:eastAsia="仿宋"/>
          <w:b/>
          <w:bCs/>
          <w:sz w:val="28"/>
          <w:szCs w:val="28"/>
        </w:rPr>
      </w:pPr>
    </w:p>
    <w:p>
      <w:pPr>
        <w:jc w:val="center"/>
        <w:outlineLvl w:val="1"/>
        <w:rPr>
          <w:rFonts w:ascii="仿宋" w:hAnsi="仿宋" w:eastAsia="仿宋"/>
          <w:b/>
          <w:bCs/>
          <w:sz w:val="28"/>
          <w:szCs w:val="28"/>
        </w:rPr>
      </w:pPr>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hint="eastAsia"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广州应用科技学院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报价分项一览表1份</w:t>
      </w:r>
      <w:r>
        <w:rPr>
          <w:rFonts w:hint="eastAsia" w:ascii="仿宋" w:hAnsi="仿宋" w:eastAsia="仿宋"/>
          <w:color w:val="auto"/>
          <w:sz w:val="28"/>
          <w:szCs w:val="28"/>
        </w:rPr>
        <w:t>。</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5"/>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3"/>
        <w:tblpPr w:leftFromText="180" w:rightFromText="180" w:vertAnchor="text" w:horzAnchor="page" w:tblpX="1416" w:tblpY="477"/>
        <w:tblOverlap w:val="never"/>
        <w:tblW w:w="9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4903"/>
        <w:gridCol w:w="775"/>
        <w:gridCol w:w="845"/>
        <w:gridCol w:w="78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491" w:type="dxa"/>
            <w:vAlign w:val="center"/>
          </w:tcPr>
          <w:p>
            <w:pPr>
              <w:keepNext w:val="0"/>
              <w:keepLines w:val="0"/>
              <w:pageBreakBefore w:val="0"/>
              <w:widowControl/>
              <w:kinsoku/>
              <w:wordWrap/>
              <w:overflowPunct/>
              <w:topLinePunct w:val="0"/>
              <w:autoSpaceDE/>
              <w:autoSpaceDN/>
              <w:bidi w:val="0"/>
              <w:adjustRightInd/>
              <w:snapToGrid w:val="0"/>
              <w:spacing w:after="0" w:line="46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大字内容</w:t>
            </w:r>
          </w:p>
        </w:tc>
        <w:tc>
          <w:tcPr>
            <w:tcW w:w="4903" w:type="dxa"/>
            <w:vAlign w:val="center"/>
          </w:tcPr>
          <w:p>
            <w:pPr>
              <w:keepNext w:val="0"/>
              <w:keepLines w:val="0"/>
              <w:pageBreakBefore w:val="0"/>
              <w:widowControl/>
              <w:kinsoku/>
              <w:wordWrap/>
              <w:overflowPunct/>
              <w:topLinePunct w:val="0"/>
              <w:autoSpaceDE/>
              <w:autoSpaceDN/>
              <w:bidi w:val="0"/>
              <w:adjustRightInd/>
              <w:snapToGrid w:val="0"/>
              <w:spacing w:after="0" w:line="46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材料参数</w:t>
            </w:r>
          </w:p>
        </w:tc>
        <w:tc>
          <w:tcPr>
            <w:tcW w:w="775" w:type="dxa"/>
            <w:vAlign w:val="center"/>
          </w:tcPr>
          <w:p>
            <w:pPr>
              <w:keepNext w:val="0"/>
              <w:keepLines w:val="0"/>
              <w:pageBreakBefore w:val="0"/>
              <w:widowControl/>
              <w:kinsoku/>
              <w:wordWrap/>
              <w:overflowPunct/>
              <w:topLinePunct w:val="0"/>
              <w:autoSpaceDE/>
              <w:autoSpaceDN/>
              <w:bidi w:val="0"/>
              <w:adjustRightInd/>
              <w:snapToGrid w:val="0"/>
              <w:spacing w:after="0" w:line="4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单位</w:t>
            </w:r>
          </w:p>
        </w:tc>
        <w:tc>
          <w:tcPr>
            <w:tcW w:w="845" w:type="dxa"/>
            <w:vAlign w:val="center"/>
          </w:tcPr>
          <w:p>
            <w:pPr>
              <w:keepNext w:val="0"/>
              <w:keepLines w:val="0"/>
              <w:pageBreakBefore w:val="0"/>
              <w:widowControl/>
              <w:kinsoku/>
              <w:wordWrap/>
              <w:overflowPunct/>
              <w:topLinePunct w:val="0"/>
              <w:autoSpaceDE/>
              <w:autoSpaceDN/>
              <w:bidi w:val="0"/>
              <w:adjustRightInd/>
              <w:snapToGrid w:val="0"/>
              <w:spacing w:after="0" w:line="460" w:lineRule="exact"/>
              <w:jc w:val="center"/>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rPr>
              <w:t>数量</w:t>
            </w:r>
          </w:p>
        </w:tc>
        <w:tc>
          <w:tcPr>
            <w:tcW w:w="780" w:type="dxa"/>
            <w:vAlign w:val="center"/>
          </w:tcPr>
          <w:p>
            <w:pPr>
              <w:keepNext w:val="0"/>
              <w:keepLines w:val="0"/>
              <w:pageBreakBefore w:val="0"/>
              <w:widowControl/>
              <w:kinsoku/>
              <w:wordWrap/>
              <w:overflowPunct/>
              <w:topLinePunct w:val="0"/>
              <w:autoSpaceDE/>
              <w:autoSpaceDN/>
              <w:bidi w:val="0"/>
              <w:adjustRightInd/>
              <w:snapToGrid w:val="0"/>
              <w:spacing w:after="0" w:line="46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单价</w:t>
            </w:r>
          </w:p>
        </w:tc>
        <w:tc>
          <w:tcPr>
            <w:tcW w:w="722" w:type="dxa"/>
            <w:vAlign w:val="center"/>
          </w:tcPr>
          <w:p>
            <w:pPr>
              <w:keepNext w:val="0"/>
              <w:keepLines w:val="0"/>
              <w:pageBreakBefore w:val="0"/>
              <w:widowControl/>
              <w:kinsoku/>
              <w:wordWrap/>
              <w:overflowPunct/>
              <w:topLinePunct w:val="0"/>
              <w:autoSpaceDE/>
              <w:autoSpaceDN/>
              <w:bidi w:val="0"/>
              <w:adjustRightInd/>
              <w:snapToGrid w:val="0"/>
              <w:spacing w:after="0" w:line="46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46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抽油烟机</w:t>
            </w:r>
          </w:p>
        </w:tc>
        <w:tc>
          <w:tcPr>
            <w:tcW w:w="4903" w:type="dxa"/>
            <w:vAlign w:val="center"/>
          </w:tcPr>
          <w:p>
            <w:pPr>
              <w:keepNext w:val="0"/>
              <w:keepLines w:val="0"/>
              <w:pageBreakBefore w:val="0"/>
              <w:widowControl/>
              <w:suppressLineNumbers w:val="0"/>
              <w:kinsoku/>
              <w:wordWrap/>
              <w:overflowPunct/>
              <w:topLinePunct w:val="0"/>
              <w:autoSpaceDE/>
              <w:autoSpaceDN/>
              <w:bidi w:val="0"/>
              <w:adjustRightInd/>
              <w:spacing w:line="460" w:lineRule="exact"/>
              <w:jc w:val="center"/>
              <w:textAlignment w:val="center"/>
              <w:rPr>
                <w:rFonts w:hint="default" w:ascii="宋体" w:hAnsi="宋体" w:eastAsia="宋体" w:cs="宋体"/>
                <w:b w:val="0"/>
                <w:bCs w:val="0"/>
                <w:color w:val="auto"/>
                <w:sz w:val="24"/>
                <w:szCs w:val="24"/>
                <w:lang w:val="en-US" w:eastAsia="zh-CN"/>
              </w:rPr>
            </w:pPr>
            <w:r>
              <w:rPr>
                <w:rStyle w:val="60"/>
                <w:rFonts w:hint="eastAsia" w:ascii="宋体" w:hAnsi="宋体" w:eastAsia="宋体" w:cs="宋体"/>
                <w:color w:val="auto"/>
                <w:sz w:val="24"/>
                <w:szCs w:val="24"/>
                <w:lang w:val="en-US" w:eastAsia="zh-CN" w:bidi="ar"/>
              </w:rPr>
              <w:t>约900*355*1000mm，侧吸，智能控制（需配合吊柜，尺寸左右不超10CM）</w:t>
            </w:r>
          </w:p>
        </w:tc>
        <w:tc>
          <w:tcPr>
            <w:tcW w:w="775" w:type="dxa"/>
            <w:vAlign w:val="center"/>
          </w:tcPr>
          <w:p>
            <w:pPr>
              <w:keepNext w:val="0"/>
              <w:keepLines w:val="0"/>
              <w:pageBreakBefore w:val="0"/>
              <w:widowControl/>
              <w:suppressLineNumbers w:val="0"/>
              <w:kinsoku/>
              <w:wordWrap/>
              <w:overflowPunct/>
              <w:topLinePunct w:val="0"/>
              <w:autoSpaceDE/>
              <w:autoSpaceDN/>
              <w:bidi w:val="0"/>
              <w:adjustRightInd/>
              <w:spacing w:line="460" w:lineRule="exact"/>
              <w:jc w:val="center"/>
              <w:textAlignment w:val="center"/>
              <w:rPr>
                <w:rFonts w:hint="eastAsia" w:ascii="宋体" w:hAnsi="宋体" w:eastAsia="宋体" w:cs="宋体"/>
                <w:b w:val="0"/>
                <w:bCs w:val="0"/>
                <w:color w:val="auto"/>
                <w:sz w:val="24"/>
                <w:szCs w:val="24"/>
                <w:lang w:val="en-US" w:eastAsia="zh-CN"/>
              </w:rPr>
            </w:pPr>
            <w:r>
              <w:rPr>
                <w:rStyle w:val="61"/>
                <w:rFonts w:hint="eastAsia" w:ascii="宋体" w:hAnsi="宋体" w:eastAsia="宋体" w:cs="宋体"/>
                <w:sz w:val="24"/>
                <w:szCs w:val="24"/>
                <w:lang w:val="en-US" w:eastAsia="zh-CN" w:bidi="ar"/>
              </w:rPr>
              <w:t>台</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pacing w:line="46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27</w:t>
            </w:r>
          </w:p>
        </w:tc>
        <w:tc>
          <w:tcPr>
            <w:tcW w:w="780" w:type="dxa"/>
            <w:vAlign w:val="center"/>
          </w:tcPr>
          <w:p>
            <w:pPr>
              <w:keepNext w:val="0"/>
              <w:keepLines w:val="0"/>
              <w:pageBreakBefore w:val="0"/>
              <w:widowControl/>
              <w:kinsoku/>
              <w:wordWrap/>
              <w:overflowPunct/>
              <w:topLinePunct w:val="0"/>
              <w:autoSpaceDE/>
              <w:autoSpaceDN/>
              <w:bidi w:val="0"/>
              <w:adjustRightInd/>
              <w:snapToGrid w:val="0"/>
              <w:spacing w:after="0" w:line="460" w:lineRule="exact"/>
              <w:jc w:val="center"/>
              <w:rPr>
                <w:rFonts w:hint="eastAsia" w:ascii="宋体" w:hAnsi="宋体" w:eastAsia="宋体" w:cs="宋体"/>
                <w:b w:val="0"/>
                <w:bCs w:val="0"/>
                <w:color w:val="auto"/>
                <w:sz w:val="24"/>
                <w:szCs w:val="24"/>
                <w:lang w:val="en-US" w:eastAsia="zh-CN"/>
              </w:rPr>
            </w:pPr>
          </w:p>
        </w:tc>
        <w:tc>
          <w:tcPr>
            <w:tcW w:w="722" w:type="dxa"/>
            <w:vAlign w:val="center"/>
          </w:tcPr>
          <w:p>
            <w:pPr>
              <w:keepNext w:val="0"/>
              <w:keepLines w:val="0"/>
              <w:pageBreakBefore w:val="0"/>
              <w:widowControl/>
              <w:kinsoku/>
              <w:wordWrap/>
              <w:overflowPunct/>
              <w:topLinePunct w:val="0"/>
              <w:autoSpaceDE/>
              <w:autoSpaceDN/>
              <w:bidi w:val="0"/>
              <w:adjustRightInd/>
              <w:snapToGrid w:val="0"/>
              <w:spacing w:after="0" w:line="46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46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微波炉</w:t>
            </w:r>
          </w:p>
        </w:tc>
        <w:tc>
          <w:tcPr>
            <w:tcW w:w="4903" w:type="dxa"/>
            <w:vAlign w:val="center"/>
          </w:tcPr>
          <w:p>
            <w:pPr>
              <w:keepNext w:val="0"/>
              <w:keepLines w:val="0"/>
              <w:pageBreakBefore w:val="0"/>
              <w:widowControl/>
              <w:suppressLineNumbers w:val="0"/>
              <w:kinsoku/>
              <w:wordWrap/>
              <w:overflowPunct/>
              <w:topLinePunct w:val="0"/>
              <w:autoSpaceDE/>
              <w:autoSpaceDN/>
              <w:bidi w:val="0"/>
              <w:adjustRightInd/>
              <w:spacing w:line="460" w:lineRule="exact"/>
              <w:jc w:val="left"/>
              <w:textAlignment w:val="center"/>
              <w:rPr>
                <w:rStyle w:val="63"/>
                <w:rFonts w:hint="eastAsia" w:ascii="宋体" w:hAnsi="宋体" w:eastAsia="宋体" w:cs="宋体"/>
                <w:color w:val="auto"/>
                <w:sz w:val="24"/>
                <w:szCs w:val="24"/>
                <w:lang w:val="en-US" w:eastAsia="zh-CN" w:bidi="ar"/>
              </w:rPr>
            </w:pPr>
            <w:r>
              <w:rPr>
                <w:rStyle w:val="63"/>
                <w:rFonts w:hint="eastAsia" w:ascii="宋体" w:hAnsi="宋体" w:eastAsia="宋体" w:cs="宋体"/>
                <w:color w:val="auto"/>
                <w:sz w:val="24"/>
                <w:szCs w:val="24"/>
                <w:lang w:val="en-US" w:eastAsia="zh-CN" w:bidi="ar"/>
              </w:rPr>
              <w:t>尺寸：约长45.9cm*宽37.4cm*高28.1cm</w:t>
            </w:r>
          </w:p>
          <w:p>
            <w:pPr>
              <w:keepNext w:val="0"/>
              <w:keepLines w:val="0"/>
              <w:pageBreakBefore w:val="0"/>
              <w:widowControl/>
              <w:suppressLineNumbers w:val="0"/>
              <w:kinsoku/>
              <w:wordWrap/>
              <w:overflowPunct/>
              <w:topLinePunct w:val="0"/>
              <w:autoSpaceDE/>
              <w:autoSpaceDN/>
              <w:bidi w:val="0"/>
              <w:adjustRightInd/>
              <w:spacing w:line="460" w:lineRule="exact"/>
              <w:jc w:val="left"/>
              <w:textAlignment w:val="center"/>
              <w:rPr>
                <w:rStyle w:val="63"/>
                <w:rFonts w:hint="eastAsia" w:ascii="宋体" w:hAnsi="宋体" w:eastAsia="宋体" w:cs="宋体"/>
                <w:color w:val="auto"/>
                <w:sz w:val="24"/>
                <w:szCs w:val="24"/>
                <w:lang w:val="en-US" w:eastAsia="zh-CN" w:bidi="ar"/>
              </w:rPr>
            </w:pPr>
            <w:r>
              <w:rPr>
                <w:rStyle w:val="63"/>
                <w:rFonts w:hint="eastAsia" w:ascii="宋体" w:hAnsi="宋体" w:eastAsia="宋体" w:cs="宋体"/>
                <w:color w:val="auto"/>
                <w:sz w:val="24"/>
                <w:szCs w:val="24"/>
                <w:lang w:val="en-US" w:eastAsia="zh-CN" w:bidi="ar"/>
              </w:rPr>
              <w:t>内腔尺寸：约长31.5cm*宽32.5cm*高20.2cm</w:t>
            </w:r>
          </w:p>
          <w:p>
            <w:pPr>
              <w:keepNext w:val="0"/>
              <w:keepLines w:val="0"/>
              <w:pageBreakBefore w:val="0"/>
              <w:widowControl/>
              <w:suppressLineNumbers w:val="0"/>
              <w:kinsoku/>
              <w:wordWrap/>
              <w:overflowPunct/>
              <w:topLinePunct w:val="0"/>
              <w:autoSpaceDE/>
              <w:autoSpaceDN/>
              <w:bidi w:val="0"/>
              <w:adjustRightInd/>
              <w:spacing w:line="460" w:lineRule="exact"/>
              <w:jc w:val="left"/>
              <w:textAlignment w:val="center"/>
              <w:rPr>
                <w:rFonts w:hint="eastAsia" w:ascii="宋体" w:hAnsi="宋体" w:eastAsia="宋体" w:cs="宋体"/>
                <w:b w:val="0"/>
                <w:bCs w:val="0"/>
                <w:color w:val="auto"/>
                <w:sz w:val="24"/>
                <w:szCs w:val="24"/>
                <w:lang w:val="en-US" w:eastAsia="zh-CN"/>
              </w:rPr>
            </w:pPr>
            <w:r>
              <w:rPr>
                <w:rStyle w:val="63"/>
                <w:rFonts w:hint="eastAsia" w:ascii="宋体" w:hAnsi="宋体" w:eastAsia="宋体" w:cs="宋体"/>
                <w:color w:val="auto"/>
                <w:sz w:val="24"/>
                <w:szCs w:val="24"/>
                <w:lang w:val="en-US" w:eastAsia="zh-CN" w:bidi="ar"/>
              </w:rPr>
              <w:t>21L容量</w:t>
            </w:r>
          </w:p>
        </w:tc>
        <w:tc>
          <w:tcPr>
            <w:tcW w:w="775" w:type="dxa"/>
            <w:vAlign w:val="center"/>
          </w:tcPr>
          <w:p>
            <w:pPr>
              <w:keepNext w:val="0"/>
              <w:keepLines w:val="0"/>
              <w:pageBreakBefore w:val="0"/>
              <w:widowControl/>
              <w:suppressLineNumbers w:val="0"/>
              <w:kinsoku/>
              <w:wordWrap/>
              <w:overflowPunct/>
              <w:topLinePunct w:val="0"/>
              <w:autoSpaceDE/>
              <w:autoSpaceDN/>
              <w:bidi w:val="0"/>
              <w:adjustRightInd/>
              <w:spacing w:line="46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台</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pacing w:line="46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27</w:t>
            </w:r>
          </w:p>
        </w:tc>
        <w:tc>
          <w:tcPr>
            <w:tcW w:w="780" w:type="dxa"/>
            <w:vAlign w:val="center"/>
          </w:tcPr>
          <w:p>
            <w:pPr>
              <w:keepNext w:val="0"/>
              <w:keepLines w:val="0"/>
              <w:pageBreakBefore w:val="0"/>
              <w:widowControl/>
              <w:kinsoku/>
              <w:wordWrap/>
              <w:overflowPunct/>
              <w:topLinePunct w:val="0"/>
              <w:autoSpaceDE/>
              <w:autoSpaceDN/>
              <w:bidi w:val="0"/>
              <w:adjustRightInd/>
              <w:snapToGrid w:val="0"/>
              <w:spacing w:after="0" w:line="460" w:lineRule="exact"/>
              <w:jc w:val="center"/>
              <w:rPr>
                <w:rFonts w:hint="eastAsia" w:ascii="宋体" w:hAnsi="宋体" w:eastAsia="宋体" w:cs="宋体"/>
                <w:b w:val="0"/>
                <w:bCs w:val="0"/>
                <w:color w:val="auto"/>
                <w:sz w:val="24"/>
                <w:szCs w:val="24"/>
                <w:lang w:val="en-US" w:eastAsia="zh-CN"/>
              </w:rPr>
            </w:pPr>
          </w:p>
        </w:tc>
        <w:tc>
          <w:tcPr>
            <w:tcW w:w="722" w:type="dxa"/>
            <w:vAlign w:val="center"/>
          </w:tcPr>
          <w:p>
            <w:pPr>
              <w:keepNext w:val="0"/>
              <w:keepLines w:val="0"/>
              <w:pageBreakBefore w:val="0"/>
              <w:widowControl/>
              <w:kinsoku/>
              <w:wordWrap/>
              <w:overflowPunct/>
              <w:topLinePunct w:val="0"/>
              <w:autoSpaceDE/>
              <w:autoSpaceDN/>
              <w:bidi w:val="0"/>
              <w:adjustRightInd/>
              <w:snapToGrid w:val="0"/>
              <w:spacing w:after="0" w:line="46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46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消毒柜</w:t>
            </w:r>
          </w:p>
        </w:tc>
        <w:tc>
          <w:tcPr>
            <w:tcW w:w="4903" w:type="dxa"/>
            <w:vAlign w:val="center"/>
          </w:tcPr>
          <w:p>
            <w:pPr>
              <w:keepNext w:val="0"/>
              <w:keepLines w:val="0"/>
              <w:pageBreakBefore w:val="0"/>
              <w:widowControl/>
              <w:suppressLineNumbers w:val="0"/>
              <w:kinsoku/>
              <w:wordWrap/>
              <w:overflowPunct/>
              <w:topLinePunct w:val="0"/>
              <w:autoSpaceDE/>
              <w:autoSpaceDN/>
              <w:bidi w:val="0"/>
              <w:adjustRightInd/>
              <w:spacing w:line="460" w:lineRule="exact"/>
              <w:jc w:val="left"/>
              <w:textAlignment w:val="center"/>
              <w:rPr>
                <w:rStyle w:val="61"/>
                <w:rFonts w:hint="eastAsia" w:ascii="宋体" w:hAnsi="宋体" w:eastAsia="宋体" w:cs="宋体"/>
                <w:color w:val="auto"/>
                <w:sz w:val="24"/>
                <w:szCs w:val="24"/>
                <w:lang w:val="en-US" w:eastAsia="zh-CN" w:bidi="ar"/>
              </w:rPr>
            </w:pPr>
            <w:r>
              <w:rPr>
                <w:rStyle w:val="61"/>
                <w:rFonts w:hint="eastAsia" w:ascii="宋体" w:hAnsi="宋体" w:eastAsia="宋体" w:cs="宋体"/>
                <w:color w:val="auto"/>
                <w:sz w:val="24"/>
                <w:szCs w:val="24"/>
                <w:lang w:val="en-US" w:eastAsia="zh-CN" w:bidi="ar"/>
              </w:rPr>
              <w:t>尺寸：约435*375*850mm</w:t>
            </w:r>
          </w:p>
          <w:p>
            <w:pPr>
              <w:keepNext w:val="0"/>
              <w:keepLines w:val="0"/>
              <w:pageBreakBefore w:val="0"/>
              <w:widowControl/>
              <w:suppressLineNumbers w:val="0"/>
              <w:kinsoku/>
              <w:wordWrap/>
              <w:overflowPunct/>
              <w:topLinePunct w:val="0"/>
              <w:autoSpaceDE/>
              <w:autoSpaceDN/>
              <w:bidi w:val="0"/>
              <w:adjustRightInd/>
              <w:spacing w:line="460" w:lineRule="exact"/>
              <w:jc w:val="both"/>
              <w:textAlignment w:val="center"/>
              <w:rPr>
                <w:rStyle w:val="61"/>
                <w:rFonts w:hint="default" w:ascii="宋体" w:hAnsi="宋体" w:eastAsia="宋体" w:cs="宋体"/>
                <w:color w:val="auto"/>
                <w:sz w:val="24"/>
                <w:szCs w:val="24"/>
                <w:lang w:val="en-US" w:eastAsia="zh-CN" w:bidi="ar"/>
              </w:rPr>
            </w:pPr>
            <w:r>
              <w:rPr>
                <w:rStyle w:val="61"/>
                <w:rFonts w:hint="eastAsia" w:ascii="宋体" w:hAnsi="宋体" w:eastAsia="宋体" w:cs="宋体"/>
                <w:color w:val="auto"/>
                <w:sz w:val="24"/>
                <w:szCs w:val="24"/>
                <w:lang w:val="en-US" w:eastAsia="zh-CN" w:bidi="ar"/>
              </w:rPr>
              <w:t>双层及以上：上层臭氧，下层高温，温控检测；</w:t>
            </w:r>
          </w:p>
        </w:tc>
        <w:tc>
          <w:tcPr>
            <w:tcW w:w="775" w:type="dxa"/>
            <w:vAlign w:val="center"/>
          </w:tcPr>
          <w:p>
            <w:pPr>
              <w:keepNext w:val="0"/>
              <w:keepLines w:val="0"/>
              <w:pageBreakBefore w:val="0"/>
              <w:widowControl/>
              <w:suppressLineNumbers w:val="0"/>
              <w:kinsoku/>
              <w:wordWrap/>
              <w:overflowPunct/>
              <w:topLinePunct w:val="0"/>
              <w:autoSpaceDE/>
              <w:autoSpaceDN/>
              <w:bidi w:val="0"/>
              <w:adjustRightInd/>
              <w:spacing w:line="46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台</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pacing w:line="46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27</w:t>
            </w:r>
          </w:p>
        </w:tc>
        <w:tc>
          <w:tcPr>
            <w:tcW w:w="780" w:type="dxa"/>
            <w:vAlign w:val="center"/>
          </w:tcPr>
          <w:p>
            <w:pPr>
              <w:keepNext w:val="0"/>
              <w:keepLines w:val="0"/>
              <w:pageBreakBefore w:val="0"/>
              <w:widowControl/>
              <w:kinsoku/>
              <w:wordWrap/>
              <w:overflowPunct/>
              <w:topLinePunct w:val="0"/>
              <w:autoSpaceDE/>
              <w:autoSpaceDN/>
              <w:bidi w:val="0"/>
              <w:adjustRightInd/>
              <w:snapToGrid w:val="0"/>
              <w:spacing w:after="0" w:line="460" w:lineRule="exact"/>
              <w:jc w:val="center"/>
              <w:rPr>
                <w:rFonts w:hint="eastAsia" w:ascii="宋体" w:hAnsi="宋体" w:eastAsia="宋体" w:cs="宋体"/>
                <w:b w:val="0"/>
                <w:bCs w:val="0"/>
                <w:color w:val="auto"/>
                <w:sz w:val="24"/>
                <w:szCs w:val="24"/>
                <w:lang w:val="en-US" w:eastAsia="zh-CN"/>
              </w:rPr>
            </w:pPr>
          </w:p>
        </w:tc>
        <w:tc>
          <w:tcPr>
            <w:tcW w:w="722" w:type="dxa"/>
            <w:vAlign w:val="center"/>
          </w:tcPr>
          <w:p>
            <w:pPr>
              <w:keepNext w:val="0"/>
              <w:keepLines w:val="0"/>
              <w:pageBreakBefore w:val="0"/>
              <w:widowControl/>
              <w:kinsoku/>
              <w:wordWrap/>
              <w:overflowPunct/>
              <w:topLinePunct w:val="0"/>
              <w:autoSpaceDE/>
              <w:autoSpaceDN/>
              <w:bidi w:val="0"/>
              <w:adjustRightInd/>
              <w:snapToGrid w:val="0"/>
              <w:spacing w:after="0" w:line="460" w:lineRule="exact"/>
              <w:jc w:val="center"/>
              <w:rPr>
                <w:rFonts w:hint="eastAsia" w:ascii="宋体" w:hAnsi="宋体" w:eastAsia="宋体" w:cs="宋体"/>
                <w:b w:val="0"/>
                <w:bCs w:val="0"/>
                <w:color w:val="auto"/>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1491" w:type="dxa"/>
            <w:vAlign w:val="center"/>
          </w:tcPr>
          <w:p>
            <w:pPr>
              <w:keepNext w:val="0"/>
              <w:keepLines w:val="0"/>
              <w:pageBreakBefore w:val="0"/>
              <w:widowControl/>
              <w:suppressLineNumbers w:val="0"/>
              <w:kinsoku/>
              <w:wordWrap/>
              <w:overflowPunct/>
              <w:topLinePunct w:val="0"/>
              <w:autoSpaceDE/>
              <w:autoSpaceDN/>
              <w:bidi w:val="0"/>
              <w:adjustRightInd/>
              <w:spacing w:line="46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电磁炉</w:t>
            </w:r>
          </w:p>
        </w:tc>
        <w:tc>
          <w:tcPr>
            <w:tcW w:w="4903" w:type="dxa"/>
            <w:vAlign w:val="center"/>
          </w:tcPr>
          <w:p>
            <w:pPr>
              <w:keepNext w:val="0"/>
              <w:keepLines w:val="0"/>
              <w:pageBreakBefore w:val="0"/>
              <w:widowControl/>
              <w:suppressLineNumbers w:val="0"/>
              <w:kinsoku/>
              <w:wordWrap/>
              <w:overflowPunct/>
              <w:topLinePunct w:val="0"/>
              <w:autoSpaceDE/>
              <w:autoSpaceDN/>
              <w:bidi w:val="0"/>
              <w:adjustRightInd/>
              <w:spacing w:line="460" w:lineRule="exact"/>
              <w:jc w:val="left"/>
              <w:textAlignment w:val="center"/>
              <w:rPr>
                <w:rFonts w:hint="default" w:ascii="宋体" w:hAnsi="宋体" w:eastAsia="宋体" w:cs="宋体"/>
                <w:b w:val="0"/>
                <w:bCs w:val="0"/>
                <w:color w:val="auto"/>
                <w:sz w:val="24"/>
                <w:szCs w:val="24"/>
                <w:lang w:val="en-US" w:eastAsia="zh-CN"/>
              </w:rPr>
            </w:pPr>
            <w:r>
              <w:rPr>
                <w:rStyle w:val="62"/>
                <w:rFonts w:hint="eastAsia" w:ascii="宋体" w:hAnsi="宋体" w:eastAsia="宋体" w:cs="宋体"/>
                <w:color w:val="auto"/>
                <w:sz w:val="24"/>
                <w:szCs w:val="24"/>
                <w:lang w:val="en-US" w:eastAsia="zh-CN" w:bidi="ar"/>
              </w:rPr>
              <w:t>触控操作；一体黑晶面板；火力大，含EMC，风机散热；</w:t>
            </w:r>
          </w:p>
        </w:tc>
        <w:tc>
          <w:tcPr>
            <w:tcW w:w="775" w:type="dxa"/>
            <w:vAlign w:val="center"/>
          </w:tcPr>
          <w:p>
            <w:pPr>
              <w:keepNext w:val="0"/>
              <w:keepLines w:val="0"/>
              <w:pageBreakBefore w:val="0"/>
              <w:widowControl/>
              <w:suppressLineNumbers w:val="0"/>
              <w:kinsoku/>
              <w:wordWrap/>
              <w:overflowPunct/>
              <w:topLinePunct w:val="0"/>
              <w:autoSpaceDE/>
              <w:autoSpaceDN/>
              <w:bidi w:val="0"/>
              <w:adjustRightInd/>
              <w:spacing w:line="460" w:lineRule="exact"/>
              <w:jc w:val="center"/>
              <w:textAlignment w:val="center"/>
              <w:rPr>
                <w:rFonts w:hint="eastAsia" w:ascii="宋体" w:hAnsi="宋体" w:eastAsia="宋体" w:cs="宋体"/>
                <w:b w:val="0"/>
                <w:bCs w:val="0"/>
                <w:color w:val="auto"/>
                <w:sz w:val="24"/>
                <w:szCs w:val="24"/>
                <w:lang w:val="en-US" w:eastAsia="zh-CN"/>
              </w:rPr>
            </w:pPr>
            <w:r>
              <w:rPr>
                <w:rStyle w:val="61"/>
                <w:rFonts w:hint="eastAsia" w:ascii="宋体" w:hAnsi="宋体" w:eastAsia="宋体" w:cs="宋体"/>
                <w:sz w:val="24"/>
                <w:szCs w:val="24"/>
                <w:lang w:val="en-US" w:eastAsia="zh-CN" w:bidi="ar"/>
              </w:rPr>
              <w:t>台</w:t>
            </w:r>
          </w:p>
        </w:tc>
        <w:tc>
          <w:tcPr>
            <w:tcW w:w="845" w:type="dxa"/>
            <w:vAlign w:val="center"/>
          </w:tcPr>
          <w:p>
            <w:pPr>
              <w:keepNext w:val="0"/>
              <w:keepLines w:val="0"/>
              <w:pageBreakBefore w:val="0"/>
              <w:widowControl/>
              <w:suppressLineNumbers w:val="0"/>
              <w:kinsoku/>
              <w:wordWrap/>
              <w:overflowPunct/>
              <w:topLinePunct w:val="0"/>
              <w:autoSpaceDE/>
              <w:autoSpaceDN/>
              <w:bidi w:val="0"/>
              <w:adjustRightInd/>
              <w:spacing w:line="460" w:lineRule="exact"/>
              <w:jc w:val="center"/>
              <w:textAlignment w:val="center"/>
              <w:rPr>
                <w:rFonts w:hint="eastAsia" w:ascii="宋体" w:hAnsi="宋体" w:eastAsia="宋体" w:cs="宋体"/>
                <w:b w:val="0"/>
                <w:bCs w:val="0"/>
                <w:color w:val="auto"/>
                <w:sz w:val="24"/>
                <w:szCs w:val="24"/>
                <w:lang w:val="en-US" w:eastAsia="zh-CN"/>
              </w:rPr>
            </w:pPr>
            <w:r>
              <w:rPr>
                <w:rFonts w:hint="eastAsia" w:ascii="宋体" w:hAnsi="宋体" w:eastAsia="宋体" w:cs="宋体"/>
                <w:i w:val="0"/>
                <w:color w:val="000000"/>
                <w:kern w:val="0"/>
                <w:sz w:val="24"/>
                <w:szCs w:val="24"/>
                <w:u w:val="none"/>
                <w:lang w:val="en-US" w:eastAsia="zh-CN" w:bidi="ar"/>
              </w:rPr>
              <w:t>27</w:t>
            </w:r>
          </w:p>
        </w:tc>
        <w:tc>
          <w:tcPr>
            <w:tcW w:w="780" w:type="dxa"/>
            <w:vAlign w:val="center"/>
          </w:tcPr>
          <w:p>
            <w:pPr>
              <w:keepNext w:val="0"/>
              <w:keepLines w:val="0"/>
              <w:pageBreakBefore w:val="0"/>
              <w:widowControl/>
              <w:kinsoku/>
              <w:wordWrap/>
              <w:overflowPunct/>
              <w:topLinePunct w:val="0"/>
              <w:autoSpaceDE/>
              <w:autoSpaceDN/>
              <w:bidi w:val="0"/>
              <w:adjustRightInd/>
              <w:snapToGrid w:val="0"/>
              <w:spacing w:after="0" w:line="460" w:lineRule="exact"/>
              <w:jc w:val="center"/>
              <w:rPr>
                <w:rFonts w:hint="eastAsia" w:ascii="宋体" w:hAnsi="宋体" w:eastAsia="宋体" w:cs="宋体"/>
                <w:b w:val="0"/>
                <w:bCs w:val="0"/>
                <w:color w:val="auto"/>
                <w:sz w:val="24"/>
                <w:szCs w:val="24"/>
                <w:lang w:val="en-US" w:eastAsia="zh-CN"/>
              </w:rPr>
            </w:pPr>
          </w:p>
        </w:tc>
        <w:tc>
          <w:tcPr>
            <w:tcW w:w="722" w:type="dxa"/>
            <w:vAlign w:val="center"/>
          </w:tcPr>
          <w:p>
            <w:pPr>
              <w:keepNext w:val="0"/>
              <w:keepLines w:val="0"/>
              <w:pageBreakBefore w:val="0"/>
              <w:widowControl/>
              <w:kinsoku/>
              <w:wordWrap/>
              <w:overflowPunct/>
              <w:topLinePunct w:val="0"/>
              <w:autoSpaceDE/>
              <w:autoSpaceDN/>
              <w:bidi w:val="0"/>
              <w:adjustRightInd/>
              <w:snapToGrid w:val="0"/>
              <w:spacing w:after="0" w:line="460" w:lineRule="exact"/>
              <w:jc w:val="center"/>
              <w:rPr>
                <w:rFonts w:hint="eastAsia" w:ascii="宋体" w:hAnsi="宋体" w:eastAsia="宋体" w:cs="宋体"/>
                <w:b w:val="0"/>
                <w:bCs w:val="0"/>
                <w:color w:val="auto"/>
                <w:sz w:val="24"/>
                <w:szCs w:val="24"/>
                <w:lang w:val="en-US" w:eastAsia="zh-CN"/>
              </w:rPr>
            </w:pPr>
          </w:p>
        </w:tc>
      </w:tr>
    </w:tbl>
    <w:p>
      <w:pPr>
        <w:widowControl w:val="0"/>
        <w:numPr>
          <w:ilvl w:val="0"/>
          <w:numId w:val="0"/>
        </w:numPr>
        <w:spacing w:after="0" w:line="500" w:lineRule="exact"/>
        <w:ind w:left="220" w:leftChars="0"/>
        <w:rPr>
          <w:rFonts w:ascii="仿宋" w:hAnsi="仿宋" w:eastAsia="仿宋"/>
          <w:sz w:val="28"/>
          <w:szCs w:val="28"/>
        </w:rPr>
      </w:pPr>
      <w:r>
        <w:rPr>
          <w:rFonts w:ascii="仿宋" w:hAnsi="仿宋" w:eastAsia="仿宋"/>
          <w:sz w:val="28"/>
          <w:szCs w:val="28"/>
        </w:rPr>
        <w:t>注：</w:t>
      </w:r>
    </w:p>
    <w:p>
      <w:pPr>
        <w:widowControl w:val="0"/>
        <w:numPr>
          <w:ilvl w:val="0"/>
          <w:numId w:val="0"/>
        </w:numPr>
        <w:spacing w:after="0" w:line="500" w:lineRule="exact"/>
        <w:ind w:left="220" w:leftChars="0"/>
        <w:rPr>
          <w:rFonts w:hint="eastAsia" w:ascii="仿宋" w:hAnsi="仿宋" w:eastAsia="仿宋"/>
          <w:color w:val="auto"/>
          <w:sz w:val="28"/>
          <w:szCs w:val="28"/>
          <w:lang w:val="en-US" w:eastAsia="zh-CN"/>
        </w:rPr>
      </w:pPr>
      <w:r>
        <w:rPr>
          <w:rFonts w:hint="eastAsia" w:ascii="仿宋" w:hAnsi="仿宋" w:eastAsia="仿宋"/>
          <w:color w:val="auto"/>
          <w:sz w:val="28"/>
          <w:szCs w:val="28"/>
          <w:lang w:val="en-US" w:eastAsia="zh-CN"/>
        </w:rPr>
        <w:t>1、以上报价包含税费、运费、搬运费、安装费、安装辅材等一切费用，提供足额的增值税普通发票。</w:t>
      </w:r>
    </w:p>
    <w:p>
      <w:pPr>
        <w:widowControl w:val="0"/>
        <w:numPr>
          <w:ilvl w:val="0"/>
          <w:numId w:val="0"/>
        </w:numPr>
        <w:spacing w:after="0" w:line="500" w:lineRule="exact"/>
        <w:ind w:left="220" w:leftChars="0"/>
        <w:rPr>
          <w:rFonts w:hint="eastAsia" w:ascii="仿宋" w:hAnsi="仿宋" w:eastAsia="仿宋"/>
          <w:color w:val="0000FF"/>
          <w:sz w:val="28"/>
          <w:szCs w:val="28"/>
          <w:lang w:val="en-US" w:eastAsia="zh-CN"/>
        </w:rPr>
      </w:pPr>
      <w:r>
        <w:rPr>
          <w:rFonts w:hint="eastAsia" w:ascii="仿宋" w:hAnsi="仿宋" w:eastAsia="仿宋"/>
          <w:color w:val="auto"/>
          <w:sz w:val="28"/>
          <w:szCs w:val="28"/>
          <w:lang w:val="en-US" w:eastAsia="zh-CN"/>
        </w:rPr>
        <w:t>2、</w:t>
      </w:r>
      <w:r>
        <w:rPr>
          <w:rFonts w:hint="eastAsia" w:ascii="仿宋" w:hAnsi="仿宋" w:eastAsia="仿宋"/>
          <w:color w:val="0000FF"/>
          <w:sz w:val="28"/>
          <w:szCs w:val="28"/>
          <w:lang w:val="en-US" w:eastAsia="zh-CN"/>
        </w:rPr>
        <w:t>报价须提供品牌、规格尺寸、材料参数和效果图片；否则将视为没有实质性响应询价文件。</w:t>
      </w:r>
    </w:p>
    <w:p>
      <w:pPr>
        <w:widowControl w:val="0"/>
        <w:numPr>
          <w:ilvl w:val="0"/>
          <w:numId w:val="0"/>
        </w:numPr>
        <w:spacing w:after="0" w:line="500" w:lineRule="exact"/>
        <w:ind w:left="220" w:leftChars="0"/>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3、本次项目请注明备货期、工期、质保年限及售后服务。</w:t>
      </w:r>
    </w:p>
    <w:p>
      <w:pPr>
        <w:widowControl w:val="0"/>
        <w:numPr>
          <w:ilvl w:val="0"/>
          <w:numId w:val="0"/>
        </w:numPr>
        <w:spacing w:after="0" w:line="500" w:lineRule="exact"/>
        <w:ind w:left="220" w:leftChars="0"/>
        <w:rPr>
          <w:rFonts w:ascii="仿宋" w:hAnsi="仿宋" w:eastAsia="仿宋"/>
          <w:sz w:val="28"/>
          <w:szCs w:val="28"/>
          <w:lang w:val="zh-CN"/>
        </w:rPr>
      </w:pPr>
      <w:r>
        <w:rPr>
          <w:rFonts w:hint="eastAsia" w:ascii="仿宋" w:hAnsi="仿宋" w:eastAsia="仿宋"/>
          <w:color w:val="auto"/>
          <w:sz w:val="28"/>
          <w:szCs w:val="28"/>
          <w:lang w:val="en-US" w:eastAsia="zh-CN"/>
        </w:rPr>
        <w:t>4、报价文件需含营业执照、案例、纳税记录。</w:t>
      </w: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en-US" w:eastAsia="zh-CN"/>
        </w:rPr>
        <w:t xml:space="preserve">  </w:t>
      </w: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b/>
          <w:bCs/>
          <w:sz w:val="28"/>
          <w:szCs w:val="28"/>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273178703"/>
      <w:bookmarkStart w:id="117" w:name="_Toc191789334"/>
      <w:bookmarkStart w:id="118" w:name="_Toc192996451"/>
      <w:bookmarkStart w:id="119" w:name="_Toc267059811"/>
      <w:bookmarkStart w:id="120" w:name="_Toc213756001"/>
      <w:bookmarkStart w:id="121" w:name="_Toc267060216"/>
      <w:bookmarkStart w:id="122" w:name="_Toc191803631"/>
      <w:bookmarkStart w:id="123" w:name="_Toc181436570"/>
      <w:bookmarkStart w:id="124" w:name="_Toc182372787"/>
      <w:bookmarkStart w:id="125" w:name="_Toc267059035"/>
      <w:bookmarkStart w:id="126" w:name="_Toc170798798"/>
      <w:bookmarkStart w:id="127" w:name="_Toc254790909"/>
      <w:bookmarkStart w:id="128" w:name="_Toc266868943"/>
      <w:bookmarkStart w:id="129" w:name="_Toc267059186"/>
      <w:bookmarkStart w:id="130" w:name="_Toc160880165"/>
      <w:bookmarkStart w:id="131" w:name="_Toc225669328"/>
      <w:bookmarkStart w:id="132" w:name="_Toc266870441"/>
      <w:bookmarkStart w:id="133" w:name="_Toc255975016"/>
      <w:bookmarkStart w:id="134" w:name="_Toc236021457"/>
      <w:bookmarkStart w:id="135" w:name="_Toc230071153"/>
      <w:bookmarkStart w:id="136" w:name="_Toc232302122"/>
      <w:bookmarkStart w:id="137" w:name="_Toc235438352"/>
      <w:bookmarkStart w:id="138" w:name="_Toc251613839"/>
      <w:bookmarkStart w:id="139" w:name="_Toc267059924"/>
      <w:bookmarkStart w:id="140" w:name="_Toc251586241"/>
      <w:bookmarkStart w:id="141" w:name="_Toc217891408"/>
      <w:bookmarkStart w:id="142" w:name="_Toc182805222"/>
      <w:bookmarkStart w:id="143" w:name="_Toc266870839"/>
      <w:bookmarkStart w:id="144" w:name="_Toc267060076"/>
      <w:bookmarkStart w:id="145" w:name="_Toc235438281"/>
      <w:bookmarkStart w:id="146" w:name="_Toc160880534"/>
      <w:bookmarkStart w:id="147" w:name="_Toc181436466"/>
      <w:bookmarkStart w:id="148" w:name="_Toc180302918"/>
      <w:bookmarkStart w:id="149" w:name="_Toc259520874"/>
      <w:bookmarkStart w:id="150" w:name="_Toc227058536"/>
      <w:bookmarkStart w:id="151" w:name="_Toc259692656"/>
      <w:bookmarkStart w:id="152" w:name="_Toc258401265"/>
      <w:bookmarkStart w:id="153" w:name="_Toc266868679"/>
      <w:bookmarkStart w:id="154" w:name="_Toc193165739"/>
      <w:bookmarkStart w:id="155" w:name="_Toc267060461"/>
      <w:bookmarkStart w:id="156" w:name="_Toc213756057"/>
      <w:bookmarkStart w:id="157" w:name="_Toc192663691"/>
      <w:bookmarkStart w:id="158" w:name="_Toc223146614"/>
      <w:bookmarkStart w:id="159" w:name="_Toc213755864"/>
      <w:bookmarkStart w:id="160" w:name="_Toc253066624"/>
      <w:bookmarkStart w:id="161" w:name="_Toc213755945"/>
      <w:bookmarkStart w:id="162" w:name="_Toc203355738"/>
      <w:bookmarkStart w:id="163" w:name="_Toc219800249"/>
      <w:bookmarkStart w:id="164" w:name="_Toc267059544"/>
      <w:bookmarkStart w:id="165" w:name="_Toc193160453"/>
      <w:bookmarkStart w:id="166" w:name="_Toc259692749"/>
      <w:bookmarkStart w:id="167" w:name="_Toc169332954"/>
      <w:bookmarkStart w:id="168" w:name="_Toc267060326"/>
      <w:bookmarkStart w:id="169" w:name="_Toc192663840"/>
      <w:bookmarkStart w:id="170" w:name="_Toc249325720"/>
      <w:bookmarkStart w:id="171" w:name="_Toc191783227"/>
      <w:bookmarkStart w:id="172" w:name="_Toc213208771"/>
      <w:bookmarkStart w:id="173" w:name="_Toc192664158"/>
      <w:bookmarkStart w:id="174" w:name="_Toc177985474"/>
      <w:bookmarkStart w:id="175" w:name="_Toc192996343"/>
      <w:bookmarkStart w:id="176" w:name="_Toc266870916"/>
      <w:bookmarkStart w:id="177" w:name="_Toc235437998"/>
      <w:bookmarkStart w:id="178" w:name="_Toc211917121"/>
      <w:bookmarkStart w:id="179" w:name="_Toc169332843"/>
      <w:bookmarkStart w:id="180" w:name="_Toc267059658"/>
      <w:bookmarkStart w:id="181" w:name="_Toc191802695"/>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5"/>
        <w:rPr>
          <w:rFonts w:ascii="仿宋" w:hAnsi="仿宋" w:eastAsia="仿宋"/>
          <w:szCs w:val="28"/>
        </w:rPr>
      </w:pPr>
    </w:p>
    <w:p>
      <w:pPr>
        <w:spacing w:line="380" w:lineRule="exact"/>
        <w:jc w:val="center"/>
        <w:outlineLvl w:val="2"/>
        <w:rPr>
          <w:rFonts w:ascii="仿宋" w:hAnsi="仿宋" w:eastAsia="仿宋"/>
          <w:b/>
          <w:sz w:val="28"/>
          <w:szCs w:val="28"/>
        </w:rPr>
      </w:pPr>
      <w:bookmarkStart w:id="182" w:name="_Toc219800250"/>
      <w:bookmarkStart w:id="183" w:name="_Toc259520875"/>
      <w:bookmarkStart w:id="184" w:name="_Toc230071154"/>
      <w:bookmarkStart w:id="185" w:name="_Toc258401266"/>
      <w:bookmarkStart w:id="186" w:name="_Toc225669329"/>
      <w:bookmarkStart w:id="187" w:name="_Toc249325721"/>
      <w:bookmarkStart w:id="188" w:name="_Toc232302123"/>
      <w:bookmarkStart w:id="189" w:name="_Toc255975017"/>
      <w:bookmarkStart w:id="190" w:name="_Toc266870917"/>
      <w:bookmarkStart w:id="191" w:name="_Toc266868680"/>
      <w:bookmarkStart w:id="192" w:name="_Toc267060077"/>
      <w:bookmarkStart w:id="193" w:name="_Toc235438353"/>
      <w:bookmarkStart w:id="194" w:name="_Toc223146615"/>
      <w:bookmarkStart w:id="195" w:name="_Toc227058537"/>
      <w:bookmarkStart w:id="196" w:name="_Toc259692750"/>
      <w:bookmarkStart w:id="197" w:name="_Toc254790910"/>
      <w:bookmarkStart w:id="198" w:name="_Toc236021458"/>
      <w:bookmarkStart w:id="199" w:name="_Toc217891409"/>
      <w:bookmarkStart w:id="200" w:name="_Toc267060462"/>
      <w:bookmarkStart w:id="201" w:name="_Toc266870442"/>
      <w:bookmarkStart w:id="202" w:name="_Toc267060217"/>
      <w:bookmarkStart w:id="203" w:name="_Toc235437999"/>
      <w:bookmarkStart w:id="204" w:name="_Toc235438282"/>
      <w:bookmarkStart w:id="205" w:name="_Toc259692657"/>
      <w:bookmarkStart w:id="206" w:name="_Toc253066625"/>
      <w:bookmarkStart w:id="207" w:name="_Toc251613840"/>
      <w:bookmarkStart w:id="208" w:name="_Toc251586242"/>
      <w:bookmarkStart w:id="209" w:name="_Toc213756058"/>
      <w:r>
        <w:rPr>
          <w:rFonts w:ascii="仿宋" w:hAnsi="仿宋" w:eastAsia="仿宋"/>
          <w:b/>
          <w:sz w:val="28"/>
          <w:szCs w:val="28"/>
        </w:rPr>
        <w:t>3</w:t>
      </w:r>
      <w:r>
        <w:rPr>
          <w:rFonts w:hint="eastAsia" w:ascii="仿宋" w:hAnsi="仿宋" w:eastAsia="仿宋"/>
          <w:b/>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sz w:val="28"/>
          <w:szCs w:val="28"/>
        </w:rPr>
        <w:cr/>
      </w:r>
    </w:p>
    <w:p>
      <w:pPr>
        <w:spacing w:after="0" w:line="500" w:lineRule="exact"/>
        <w:rPr>
          <w:rFonts w:ascii="仿宋" w:hAnsi="仿宋" w:eastAsia="仿宋"/>
          <w:color w:val="auto"/>
          <w:sz w:val="28"/>
          <w:szCs w:val="28"/>
        </w:rPr>
      </w:pPr>
      <w:bookmarkStart w:id="210" w:name="_Hlk511663739"/>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w:t>
      </w:r>
      <w:bookmarkEnd w:id="210"/>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r>
        <w:rPr>
          <w:rFonts w:hint="eastAsia" w:ascii="仿宋" w:hAnsi="仿宋" w:eastAsia="仿宋"/>
          <w:color w:val="auto"/>
          <w:sz w:val="28"/>
          <w:szCs w:val="28"/>
          <w:lang w:val="en-US" w:eastAsia="zh-CN"/>
        </w:rPr>
        <w:t>，</w:t>
      </w:r>
      <w:r>
        <w:rPr>
          <w:rFonts w:hint="eastAsia" w:ascii="仿宋" w:hAnsi="仿宋" w:eastAsia="仿宋"/>
          <w:color w:val="auto"/>
          <w:sz w:val="28"/>
          <w:szCs w:val="28"/>
        </w:rPr>
        <w:t>随报价响应文件</w:t>
      </w:r>
      <w:r>
        <w:rPr>
          <w:rFonts w:hint="eastAsia" w:ascii="仿宋" w:hAnsi="仿宋" w:eastAsia="仿宋"/>
          <w:sz w:val="28"/>
          <w:szCs w:val="28"/>
        </w:rPr>
        <w:t>一同递交。</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1" w:name="_Toc235438354"/>
      <w:bookmarkStart w:id="212" w:name="_Toc232302124"/>
      <w:bookmarkStart w:id="213" w:name="_Toc227058538"/>
      <w:bookmarkStart w:id="214" w:name="_Toc225669330"/>
      <w:bookmarkStart w:id="215" w:name="_Toc266870443"/>
      <w:bookmarkStart w:id="216" w:name="_Toc258401267"/>
      <w:bookmarkStart w:id="217" w:name="_Toc235438283"/>
      <w:bookmarkStart w:id="218" w:name="_Toc255975018"/>
      <w:bookmarkStart w:id="219" w:name="_Toc266868681"/>
      <w:bookmarkStart w:id="220" w:name="_Toc251586243"/>
      <w:bookmarkStart w:id="221" w:name="_Toc230071155"/>
      <w:bookmarkStart w:id="222" w:name="_Toc266870918"/>
      <w:bookmarkStart w:id="223" w:name="_Toc259692751"/>
      <w:bookmarkStart w:id="224" w:name="_Toc254790911"/>
      <w:bookmarkStart w:id="225" w:name="_Toc251613841"/>
      <w:bookmarkStart w:id="226" w:name="_Toc213756059"/>
      <w:bookmarkStart w:id="227" w:name="_Toc236021459"/>
      <w:bookmarkStart w:id="228" w:name="_Toc249325722"/>
      <w:bookmarkStart w:id="229" w:name="_Toc219800251"/>
      <w:bookmarkStart w:id="230" w:name="_Toc217891410"/>
      <w:bookmarkStart w:id="231" w:name="_Toc235438000"/>
      <w:bookmarkStart w:id="232" w:name="_Toc253066626"/>
      <w:bookmarkStart w:id="233" w:name="_Toc259520876"/>
      <w:bookmarkStart w:id="234" w:name="_Toc223146616"/>
      <w:bookmarkStart w:id="235" w:name="_Toc259692658"/>
    </w:p>
    <w:p>
      <w:pPr>
        <w:jc w:val="center"/>
        <w:outlineLvl w:val="1"/>
        <w:rPr>
          <w:rFonts w:hint="eastAsia"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color w:val="auto"/>
          <w:sz w:val="28"/>
          <w:szCs w:val="28"/>
        </w:rPr>
      </w:pPr>
      <w:r>
        <w:rPr>
          <w:rFonts w:ascii="仿宋" w:hAnsi="仿宋" w:eastAsia="仿宋"/>
          <w:b/>
          <w:sz w:val="28"/>
          <w:szCs w:val="28"/>
        </w:rPr>
        <w:t>3</w:t>
      </w:r>
      <w:r>
        <w:rPr>
          <w:rFonts w:hint="eastAsia" w:ascii="仿宋" w:hAnsi="仿宋" w:eastAsia="仿宋"/>
          <w:b/>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sz w:val="28"/>
          <w:szCs w:val="28"/>
        </w:rPr>
        <w:t>2</w:t>
      </w:r>
      <w:r>
        <w:rPr>
          <w:rFonts w:hint="eastAsia" w:ascii="仿宋" w:hAnsi="仿宋" w:eastAsia="仿宋"/>
          <w:b/>
          <w:bCs/>
          <w:sz w:val="28"/>
          <w:szCs w:val="28"/>
        </w:rPr>
        <w:t xml:space="preserve"> 企业</w:t>
      </w:r>
      <w:r>
        <w:rPr>
          <w:rFonts w:hint="eastAsia" w:ascii="仿宋" w:hAnsi="仿宋" w:eastAsia="仿宋"/>
          <w:b/>
          <w:sz w:val="28"/>
          <w:szCs w:val="28"/>
        </w:rPr>
        <w:t>法人营业执照（复印件并加盖公章）</w:t>
      </w:r>
    </w:p>
    <w:p>
      <w:pPr>
        <w:spacing w:after="0" w:line="500" w:lineRule="exact"/>
        <w:rPr>
          <w:rFonts w:ascii="仿宋" w:hAnsi="仿宋" w:eastAsia="仿宋"/>
          <w:color w:val="auto"/>
          <w:sz w:val="28"/>
          <w:szCs w:val="28"/>
        </w:rPr>
      </w:pPr>
      <w:r>
        <w:rPr>
          <w:rFonts w:hint="eastAsia" w:ascii="仿宋" w:hAnsi="仿宋" w:eastAsia="仿宋"/>
          <w:color w:val="auto"/>
          <w:sz w:val="28"/>
          <w:szCs w:val="28"/>
          <w:lang w:val="en-US" w:eastAsia="zh-CN"/>
        </w:rPr>
        <w:t>广州应用科技学院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266868684"/>
      <w:bookmarkStart w:id="237" w:name="_Toc180302921"/>
      <w:bookmarkStart w:id="238" w:name="_Toc235438357"/>
      <w:bookmarkStart w:id="239" w:name="_Toc258401270"/>
      <w:bookmarkStart w:id="240" w:name="_Toc266868686"/>
      <w:bookmarkStart w:id="241" w:name="_Toc266870922"/>
      <w:bookmarkStart w:id="242" w:name="_Toc169332957"/>
      <w:bookmarkStart w:id="243" w:name="_Toc259692754"/>
      <w:bookmarkStart w:id="244" w:name="_Toc267060465"/>
      <w:bookmarkStart w:id="245" w:name="_Toc266870921"/>
      <w:bookmarkStart w:id="246" w:name="_Toc254790914"/>
      <w:bookmarkStart w:id="247" w:name="_Toc193165742"/>
      <w:bookmarkStart w:id="248" w:name="_Toc191789337"/>
      <w:bookmarkStart w:id="249" w:name="_Toc192663843"/>
      <w:bookmarkStart w:id="250" w:name="_Toc181436469"/>
      <w:bookmarkStart w:id="251" w:name="_Toc267060080"/>
      <w:bookmarkStart w:id="252" w:name="_Toc182805225"/>
      <w:bookmarkStart w:id="253" w:name="_Toc259520881"/>
      <w:bookmarkStart w:id="254" w:name="_Toc267060220"/>
      <w:bookmarkStart w:id="255" w:name="_Toc255975023"/>
      <w:bookmarkStart w:id="256" w:name="_Toc232302127"/>
      <w:bookmarkStart w:id="257" w:name="_Toc267060081"/>
      <w:bookmarkStart w:id="258" w:name="_Toc235438003"/>
      <w:bookmarkStart w:id="259" w:name="_Toc203355741"/>
      <w:bookmarkStart w:id="260" w:name="_Toc251613844"/>
      <w:bookmarkStart w:id="261" w:name="_Toc160880537"/>
      <w:bookmarkStart w:id="262" w:name="_Toc255975021"/>
      <w:bookmarkStart w:id="263" w:name="_Toc182372790"/>
      <w:bookmarkStart w:id="264" w:name="_Toc259692756"/>
      <w:bookmarkStart w:id="265" w:name="_Toc267060466"/>
      <w:bookmarkStart w:id="266" w:name="_Toc258401272"/>
      <w:bookmarkStart w:id="267" w:name="_Toc192996346"/>
      <w:bookmarkStart w:id="268" w:name="_Toc181436573"/>
      <w:bookmarkStart w:id="269" w:name="_Toc259692661"/>
      <w:bookmarkStart w:id="270" w:name="_Toc259692663"/>
      <w:bookmarkStart w:id="271" w:name="_Toc193160456"/>
      <w:bookmarkStart w:id="272" w:name="_Toc192664161"/>
      <w:bookmarkStart w:id="273" w:name="_Toc160880168"/>
      <w:bookmarkStart w:id="274" w:name="_Toc170798801"/>
      <w:bookmarkStart w:id="275" w:name="_Toc192663694"/>
      <w:bookmarkStart w:id="276" w:name="_Toc191783230"/>
      <w:bookmarkStart w:id="277" w:name="_Toc266870447"/>
      <w:bookmarkStart w:id="278" w:name="_Toc267060221"/>
      <w:bookmarkStart w:id="279" w:name="_Toc177985477"/>
      <w:bookmarkStart w:id="280" w:name="_Toc259520879"/>
      <w:bookmarkStart w:id="281" w:name="_Toc235438286"/>
      <w:bookmarkStart w:id="282" w:name="_Toc249325725"/>
      <w:bookmarkStart w:id="283" w:name="_Toc211917124"/>
      <w:bookmarkStart w:id="284" w:name="_Toc192996454"/>
      <w:bookmarkStart w:id="285" w:name="_Toc253066629"/>
      <w:bookmarkStart w:id="286" w:name="_Toc191802698"/>
      <w:bookmarkStart w:id="287" w:name="_Toc254790916"/>
      <w:bookmarkStart w:id="288" w:name="_Toc191803634"/>
      <w:bookmarkStart w:id="289" w:name="_Toc236021462"/>
      <w:bookmarkStart w:id="290" w:name="_Toc266870446"/>
      <w:bookmarkStart w:id="291" w:name="_Toc169332846"/>
      <w:bookmarkStart w:id="292" w:name="_Toc251586246"/>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sz w:val="28"/>
          <w:szCs w:val="28"/>
        </w:rPr>
      </w:pPr>
      <w:bookmarkStart w:id="293" w:name="_Toc254790917"/>
      <w:bookmarkStart w:id="294" w:name="_Toc259520882"/>
      <w:bookmarkStart w:id="295" w:name="_Toc267059925"/>
      <w:bookmarkStart w:id="296" w:name="_Toc266870448"/>
      <w:bookmarkStart w:id="297" w:name="_Toc236021463"/>
      <w:bookmarkStart w:id="298" w:name="_Toc267059545"/>
      <w:bookmarkStart w:id="299" w:name="_Toc267060327"/>
      <w:bookmarkStart w:id="300" w:name="_Toc232302128"/>
      <w:bookmarkStart w:id="301" w:name="_Toc267059812"/>
      <w:bookmarkStart w:id="302" w:name="_Toc267059187"/>
      <w:bookmarkStart w:id="303" w:name="_Toc235438358"/>
      <w:bookmarkStart w:id="304" w:name="_Toc259692664"/>
      <w:bookmarkStart w:id="305" w:name="_Toc273178704"/>
      <w:bookmarkStart w:id="306" w:name="_Toc235438287"/>
      <w:bookmarkStart w:id="307" w:name="_Toc266868944"/>
      <w:bookmarkStart w:id="308" w:name="_Toc267060222"/>
      <w:bookmarkStart w:id="309" w:name="_Toc267059036"/>
      <w:bookmarkStart w:id="310" w:name="_Toc267060467"/>
      <w:bookmarkStart w:id="311" w:name="_Toc266870923"/>
      <w:bookmarkStart w:id="312" w:name="_Toc266868687"/>
      <w:bookmarkStart w:id="313" w:name="_Toc251613845"/>
      <w:bookmarkStart w:id="314" w:name="_Toc267059659"/>
      <w:bookmarkStart w:id="315" w:name="_Toc259692757"/>
      <w:bookmarkStart w:id="316" w:name="_Toc249325726"/>
      <w:bookmarkStart w:id="317" w:name="_Toc258401273"/>
      <w:bookmarkStart w:id="318" w:name="_Toc235438004"/>
      <w:bookmarkStart w:id="319" w:name="_Toc253066630"/>
      <w:bookmarkStart w:id="320" w:name="_Toc255975024"/>
      <w:bookmarkStart w:id="321" w:name="_Toc251586247"/>
      <w:bookmarkStart w:id="322" w:name="_Toc267060082"/>
      <w:bookmarkStart w:id="323" w:name="_Toc266870840"/>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p>
    <w:sectPr>
      <w:headerReference r:id="rId9" w:type="first"/>
      <w:headerReference r:id="rId8" w:type="default"/>
      <w:footerReference r:id="rId10" w:type="default"/>
      <w:type w:val="continuous"/>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sdtPr>
    <w:sdtContent>
      <w:sdt>
        <w:sdtPr>
          <w:id w:val="-1705238520"/>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sdtPr>
    <w:sdtContent>
      <w:sdt>
        <w:sdtPr>
          <w:id w:val="455225834"/>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rPr>
      <w:t>学校L</w:t>
    </w:r>
    <w:r>
      <w:t>OGO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r>
      <w:rPr>
        <w:rFonts w:hint="eastAsia"/>
      </w:rPr>
      <w:t>学校L</w:t>
    </w:r>
    <w:r>
      <w:t>OGO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34C5A73"/>
    <w:rsid w:val="33594774"/>
    <w:rsid w:val="35A649ED"/>
    <w:rsid w:val="439E3BF0"/>
    <w:rsid w:val="5BDD7140"/>
    <w:rsid w:val="645772EC"/>
    <w:rsid w:val="76B00A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7"/>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8"/>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29"/>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0"/>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1"/>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2"/>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3"/>
    <w:unhideWhenUsed/>
    <w:qFormat/>
    <w:uiPriority w:val="9"/>
    <w:pPr>
      <w:keepNext/>
      <w:keepLines/>
      <w:spacing w:before="120" w:after="0"/>
      <w:outlineLvl w:val="6"/>
    </w:pPr>
    <w:rPr>
      <w:i/>
      <w:iCs/>
    </w:rPr>
  </w:style>
  <w:style w:type="paragraph" w:styleId="9">
    <w:name w:val="heading 8"/>
    <w:basedOn w:val="1"/>
    <w:next w:val="1"/>
    <w:link w:val="34"/>
    <w:unhideWhenUsed/>
    <w:qFormat/>
    <w:uiPriority w:val="9"/>
    <w:pPr>
      <w:keepNext/>
      <w:keepLines/>
      <w:spacing w:before="120" w:after="0"/>
      <w:outlineLvl w:val="7"/>
    </w:pPr>
    <w:rPr>
      <w:b/>
      <w:bCs/>
    </w:rPr>
  </w:style>
  <w:style w:type="paragraph" w:styleId="10">
    <w:name w:val="heading 9"/>
    <w:basedOn w:val="1"/>
    <w:next w:val="1"/>
    <w:link w:val="35"/>
    <w:unhideWhenUsed/>
    <w:qFormat/>
    <w:uiPriority w:val="9"/>
    <w:pPr>
      <w:keepNext/>
      <w:keepLines/>
      <w:spacing w:before="120" w:after="0"/>
      <w:outlineLvl w:val="8"/>
    </w:pPr>
    <w:rPr>
      <w:i/>
      <w:iCs/>
    </w:rPr>
  </w:style>
  <w:style w:type="character" w:default="1" w:styleId="24">
    <w:name w:val="Default Paragraph Font"/>
    <w:unhideWhenUsed/>
    <w:qFormat/>
    <w:uiPriority w:val="1"/>
  </w:style>
  <w:style w:type="table" w:default="1" w:styleId="23">
    <w:name w:val="Normal Table"/>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unhideWhenUsed/>
    <w:qFormat/>
    <w:uiPriority w:val="35"/>
    <w:rPr>
      <w:b/>
      <w:bCs/>
      <w:sz w:val="18"/>
      <w:szCs w:val="18"/>
    </w:rPr>
  </w:style>
  <w:style w:type="paragraph" w:styleId="13">
    <w:name w:val="Body Text"/>
    <w:basedOn w:val="1"/>
    <w:link w:val="57"/>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6"/>
    <w:unhideWhenUsed/>
    <w:qFormat/>
    <w:uiPriority w:val="0"/>
    <w:rPr>
      <w:rFonts w:hAnsi="Courier New" w:cs="Courier New" w:asciiTheme="minorEastAsia"/>
    </w:rPr>
  </w:style>
  <w:style w:type="paragraph" w:styleId="16">
    <w:name w:val="footer"/>
    <w:basedOn w:val="1"/>
    <w:link w:val="52"/>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7"/>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4"/>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6"/>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qFormat/>
    <w:uiPriority w:val="22"/>
    <w:rPr>
      <w:b/>
      <w:bCs/>
      <w:color w:val="auto"/>
    </w:rPr>
  </w:style>
  <w:style w:type="character" w:styleId="26">
    <w:name w:val="Emphasis"/>
    <w:basedOn w:val="24"/>
    <w:qFormat/>
    <w:uiPriority w:val="20"/>
    <w:rPr>
      <w:i/>
      <w:iCs/>
      <w:color w:val="auto"/>
    </w:rPr>
  </w:style>
  <w:style w:type="character" w:customStyle="1" w:styleId="27">
    <w:name w:val="标题 1 字符"/>
    <w:basedOn w:val="24"/>
    <w:link w:val="2"/>
    <w:qFormat/>
    <w:uiPriority w:val="9"/>
    <w:rPr>
      <w:rFonts w:asciiTheme="majorHAnsi" w:hAnsiTheme="majorHAnsi" w:eastAsiaTheme="majorEastAsia" w:cstheme="majorBidi"/>
      <w:b/>
      <w:bCs/>
      <w:caps/>
      <w:spacing w:val="4"/>
      <w:sz w:val="28"/>
      <w:szCs w:val="28"/>
    </w:rPr>
  </w:style>
  <w:style w:type="character" w:customStyle="1" w:styleId="28">
    <w:name w:val="标题 2 字符"/>
    <w:basedOn w:val="24"/>
    <w:link w:val="3"/>
    <w:semiHidden/>
    <w:qFormat/>
    <w:uiPriority w:val="9"/>
    <w:rPr>
      <w:rFonts w:asciiTheme="majorHAnsi" w:hAnsiTheme="majorHAnsi" w:eastAsiaTheme="majorEastAsia" w:cstheme="majorBidi"/>
      <w:b/>
      <w:bCs/>
      <w:sz w:val="28"/>
      <w:szCs w:val="28"/>
    </w:rPr>
  </w:style>
  <w:style w:type="character" w:customStyle="1" w:styleId="29">
    <w:name w:val="标题 3 字符"/>
    <w:basedOn w:val="24"/>
    <w:link w:val="4"/>
    <w:semiHidden/>
    <w:qFormat/>
    <w:uiPriority w:val="9"/>
    <w:rPr>
      <w:rFonts w:asciiTheme="majorHAnsi" w:hAnsiTheme="majorHAnsi" w:eastAsiaTheme="majorEastAsia" w:cstheme="majorBidi"/>
      <w:spacing w:val="4"/>
      <w:sz w:val="24"/>
      <w:szCs w:val="24"/>
    </w:rPr>
  </w:style>
  <w:style w:type="character" w:customStyle="1" w:styleId="30">
    <w:name w:val="标题 4 字符"/>
    <w:basedOn w:val="24"/>
    <w:link w:val="5"/>
    <w:semiHidden/>
    <w:qFormat/>
    <w:uiPriority w:val="9"/>
    <w:rPr>
      <w:rFonts w:asciiTheme="majorHAnsi" w:hAnsiTheme="majorHAnsi" w:eastAsiaTheme="majorEastAsia" w:cstheme="majorBidi"/>
      <w:i/>
      <w:iCs/>
      <w:sz w:val="24"/>
      <w:szCs w:val="24"/>
    </w:rPr>
  </w:style>
  <w:style w:type="character" w:customStyle="1" w:styleId="31">
    <w:name w:val="标题 5 字符"/>
    <w:basedOn w:val="24"/>
    <w:link w:val="6"/>
    <w:semiHidden/>
    <w:qFormat/>
    <w:uiPriority w:val="9"/>
    <w:rPr>
      <w:rFonts w:asciiTheme="majorHAnsi" w:hAnsiTheme="majorHAnsi" w:eastAsiaTheme="majorEastAsia" w:cstheme="majorBidi"/>
      <w:b/>
      <w:bCs/>
    </w:rPr>
  </w:style>
  <w:style w:type="character" w:customStyle="1" w:styleId="32">
    <w:name w:val="标题 6 字符"/>
    <w:basedOn w:val="24"/>
    <w:link w:val="7"/>
    <w:semiHidden/>
    <w:qFormat/>
    <w:uiPriority w:val="9"/>
    <w:rPr>
      <w:rFonts w:asciiTheme="majorHAnsi" w:hAnsiTheme="majorHAnsi" w:eastAsiaTheme="majorEastAsia" w:cstheme="majorBidi"/>
      <w:b/>
      <w:bCs/>
      <w:i/>
      <w:iCs/>
    </w:rPr>
  </w:style>
  <w:style w:type="character" w:customStyle="1" w:styleId="33">
    <w:name w:val="标题 7 字符"/>
    <w:basedOn w:val="24"/>
    <w:link w:val="8"/>
    <w:semiHidden/>
    <w:qFormat/>
    <w:uiPriority w:val="9"/>
    <w:rPr>
      <w:i/>
      <w:iCs/>
    </w:rPr>
  </w:style>
  <w:style w:type="character" w:customStyle="1" w:styleId="34">
    <w:name w:val="标题 8 字符"/>
    <w:basedOn w:val="24"/>
    <w:link w:val="9"/>
    <w:semiHidden/>
    <w:qFormat/>
    <w:uiPriority w:val="9"/>
    <w:rPr>
      <w:b/>
      <w:bCs/>
    </w:rPr>
  </w:style>
  <w:style w:type="character" w:customStyle="1" w:styleId="35">
    <w:name w:val="标题 9 字符"/>
    <w:basedOn w:val="24"/>
    <w:link w:val="10"/>
    <w:semiHidden/>
    <w:qFormat/>
    <w:uiPriority w:val="9"/>
    <w:rPr>
      <w:i/>
      <w:iCs/>
    </w:rPr>
  </w:style>
  <w:style w:type="character" w:customStyle="1" w:styleId="36">
    <w:name w:val="标题 字符"/>
    <w:basedOn w:val="24"/>
    <w:link w:val="22"/>
    <w:qFormat/>
    <w:uiPriority w:val="10"/>
    <w:rPr>
      <w:rFonts w:asciiTheme="majorHAnsi" w:hAnsiTheme="majorHAnsi" w:eastAsiaTheme="majorEastAsia" w:cstheme="majorBidi"/>
      <w:b/>
      <w:bCs/>
      <w:spacing w:val="-7"/>
      <w:sz w:val="48"/>
      <w:szCs w:val="48"/>
    </w:rPr>
  </w:style>
  <w:style w:type="character" w:customStyle="1" w:styleId="37">
    <w:name w:val="副标题 字符"/>
    <w:basedOn w:val="24"/>
    <w:link w:val="19"/>
    <w:qFormat/>
    <w:uiPriority w:val="11"/>
    <w:rPr>
      <w:rFonts w:asciiTheme="majorHAnsi" w:hAnsiTheme="majorHAnsi" w:eastAsiaTheme="majorEastAsia" w:cstheme="majorBidi"/>
      <w:sz w:val="24"/>
      <w:szCs w:val="24"/>
    </w:rPr>
  </w:style>
  <w:style w:type="paragraph" w:customStyle="1" w:styleId="38">
    <w:name w:val="No Spacing"/>
    <w:link w:val="49"/>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customStyle="1" w:styleId="39">
    <w:name w:val="Quote"/>
    <w:basedOn w:val="1"/>
    <w:next w:val="1"/>
    <w:link w:val="40"/>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0">
    <w:name w:val="引用 字符"/>
    <w:basedOn w:val="24"/>
    <w:link w:val="39"/>
    <w:qFormat/>
    <w:uiPriority w:val="29"/>
    <w:rPr>
      <w:rFonts w:asciiTheme="majorHAnsi" w:hAnsiTheme="majorHAnsi" w:eastAsiaTheme="majorEastAsia" w:cstheme="majorBidi"/>
      <w:i/>
      <w:iCs/>
      <w:sz w:val="24"/>
      <w:szCs w:val="24"/>
    </w:rPr>
  </w:style>
  <w:style w:type="paragraph" w:customStyle="1" w:styleId="41">
    <w:name w:val="Intense Quote"/>
    <w:basedOn w:val="1"/>
    <w:next w:val="1"/>
    <w:link w:val="42"/>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2">
    <w:name w:val="明显引用 字符"/>
    <w:basedOn w:val="24"/>
    <w:link w:val="41"/>
    <w:qFormat/>
    <w:uiPriority w:val="30"/>
    <w:rPr>
      <w:rFonts w:asciiTheme="majorHAnsi" w:hAnsiTheme="majorHAnsi" w:eastAsiaTheme="majorEastAsia" w:cstheme="majorBidi"/>
      <w:sz w:val="26"/>
      <w:szCs w:val="26"/>
    </w:rPr>
  </w:style>
  <w:style w:type="character" w:customStyle="1" w:styleId="43">
    <w:name w:val="Subtle Emphasis"/>
    <w:basedOn w:val="24"/>
    <w:qFormat/>
    <w:uiPriority w:val="19"/>
    <w:rPr>
      <w:i/>
      <w:iCs/>
      <w:color w:val="auto"/>
    </w:rPr>
  </w:style>
  <w:style w:type="character" w:customStyle="1" w:styleId="44">
    <w:name w:val="Intense Emphasis"/>
    <w:basedOn w:val="24"/>
    <w:qFormat/>
    <w:uiPriority w:val="21"/>
    <w:rPr>
      <w:b/>
      <w:bCs/>
      <w:i/>
      <w:iCs/>
      <w:color w:val="auto"/>
    </w:rPr>
  </w:style>
  <w:style w:type="character" w:customStyle="1" w:styleId="45">
    <w:name w:val="Subtle Reference"/>
    <w:basedOn w:val="24"/>
    <w:qFormat/>
    <w:uiPriority w:val="31"/>
    <w:rPr>
      <w:smallCaps/>
      <w:color w:val="auto"/>
      <w:u w:val="single" w:color="7E7E7E" w:themeColor="text1" w:themeTint="80"/>
    </w:rPr>
  </w:style>
  <w:style w:type="character" w:customStyle="1" w:styleId="46">
    <w:name w:val="Intense Reference"/>
    <w:basedOn w:val="24"/>
    <w:qFormat/>
    <w:uiPriority w:val="32"/>
    <w:rPr>
      <w:b/>
      <w:bCs/>
      <w:smallCaps/>
      <w:color w:val="auto"/>
      <w:u w:val="single"/>
    </w:rPr>
  </w:style>
  <w:style w:type="character" w:customStyle="1" w:styleId="47">
    <w:name w:val="Book Title"/>
    <w:basedOn w:val="24"/>
    <w:qFormat/>
    <w:uiPriority w:val="33"/>
    <w:rPr>
      <w:b/>
      <w:bCs/>
      <w:smallCaps/>
      <w:color w:val="auto"/>
    </w:rPr>
  </w:style>
  <w:style w:type="paragraph" w:customStyle="1" w:styleId="48">
    <w:name w:val="TOC Heading"/>
    <w:basedOn w:val="2"/>
    <w:next w:val="1"/>
    <w:unhideWhenUsed/>
    <w:qFormat/>
    <w:uiPriority w:val="39"/>
    <w:pPr>
      <w:outlineLvl w:val="9"/>
    </w:pPr>
  </w:style>
  <w:style w:type="character" w:customStyle="1" w:styleId="49">
    <w:name w:val="无间隔 字符"/>
    <w:basedOn w:val="24"/>
    <w:link w:val="38"/>
    <w:qFormat/>
    <w:uiPriority w:val="1"/>
  </w:style>
  <w:style w:type="paragraph" w:customStyle="1" w:styleId="50">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1">
    <w:name w:val="页眉 字符"/>
    <w:basedOn w:val="24"/>
    <w:link w:val="17"/>
    <w:qFormat/>
    <w:uiPriority w:val="99"/>
    <w:rPr>
      <w:sz w:val="18"/>
      <w:szCs w:val="18"/>
    </w:rPr>
  </w:style>
  <w:style w:type="character" w:customStyle="1" w:styleId="52">
    <w:name w:val="页脚 字符"/>
    <w:basedOn w:val="24"/>
    <w:link w:val="16"/>
    <w:qFormat/>
    <w:uiPriority w:val="99"/>
    <w:rPr>
      <w:sz w:val="18"/>
      <w:szCs w:val="18"/>
    </w:rPr>
  </w:style>
  <w:style w:type="paragraph" w:customStyle="1" w:styleId="53">
    <w:name w:val="List Paragraph"/>
    <w:basedOn w:val="1"/>
    <w:qFormat/>
    <w:uiPriority w:val="34"/>
    <w:pPr>
      <w:ind w:firstLine="420" w:firstLineChars="200"/>
    </w:pPr>
  </w:style>
  <w:style w:type="character" w:customStyle="1" w:styleId="54">
    <w:name w:val="正文文本缩进 3 字符"/>
    <w:basedOn w:val="24"/>
    <w:link w:val="20"/>
    <w:qFormat/>
    <w:uiPriority w:val="0"/>
    <w:rPr>
      <w:rFonts w:ascii="Times New Roman" w:hAnsi="Times New Roman" w:eastAsia="宋体" w:cs="Times New Roman"/>
      <w:kern w:val="2"/>
      <w:sz w:val="16"/>
      <w:szCs w:val="16"/>
    </w:rPr>
  </w:style>
  <w:style w:type="paragraph" w:customStyle="1" w:styleId="55">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6">
    <w:name w:val="纯文本 字符"/>
    <w:basedOn w:val="24"/>
    <w:link w:val="15"/>
    <w:semiHidden/>
    <w:qFormat/>
    <w:uiPriority w:val="99"/>
    <w:rPr>
      <w:rFonts w:hAnsi="Courier New" w:cs="Courier New" w:asciiTheme="minorEastAsia"/>
    </w:rPr>
  </w:style>
  <w:style w:type="character" w:customStyle="1" w:styleId="57">
    <w:name w:val="正文文本 字符"/>
    <w:basedOn w:val="24"/>
    <w:link w:val="13"/>
    <w:semiHidden/>
    <w:qFormat/>
    <w:uiPriority w:val="99"/>
  </w:style>
  <w:style w:type="character" w:customStyle="1" w:styleId="58">
    <w:name w:val="纯文本 Char"/>
    <w:qFormat/>
    <w:uiPriority w:val="0"/>
    <w:rPr>
      <w:rFonts w:ascii="宋体" w:hAnsi="Courier New" w:eastAsia="宋体"/>
      <w:kern w:val="2"/>
      <w:sz w:val="21"/>
      <w:lang w:val="en-US" w:eastAsia="zh-CN" w:bidi="ar-SA"/>
    </w:rPr>
  </w:style>
  <w:style w:type="character" w:customStyle="1" w:styleId="59">
    <w:name w:val="font41"/>
    <w:basedOn w:val="24"/>
    <w:uiPriority w:val="0"/>
    <w:rPr>
      <w:rFonts w:hint="eastAsia" w:ascii="宋体" w:hAnsi="宋体" w:eastAsia="宋体" w:cs="宋体"/>
      <w:color w:val="000000"/>
      <w:sz w:val="22"/>
      <w:szCs w:val="22"/>
      <w:u w:val="none"/>
    </w:rPr>
  </w:style>
  <w:style w:type="character" w:customStyle="1" w:styleId="60">
    <w:name w:val="font31"/>
    <w:basedOn w:val="24"/>
    <w:uiPriority w:val="0"/>
    <w:rPr>
      <w:rFonts w:ascii="Arial" w:hAnsi="Arial" w:cs="Arial"/>
      <w:color w:val="000000"/>
      <w:sz w:val="22"/>
      <w:szCs w:val="22"/>
      <w:u w:val="none"/>
    </w:rPr>
  </w:style>
  <w:style w:type="character" w:customStyle="1" w:styleId="61">
    <w:name w:val="font51"/>
    <w:basedOn w:val="24"/>
    <w:uiPriority w:val="0"/>
    <w:rPr>
      <w:rFonts w:hint="eastAsia" w:ascii="宋体" w:hAnsi="宋体" w:eastAsia="宋体" w:cs="宋体"/>
      <w:color w:val="000000"/>
      <w:sz w:val="22"/>
      <w:szCs w:val="22"/>
      <w:u w:val="none"/>
    </w:rPr>
  </w:style>
  <w:style w:type="character" w:customStyle="1" w:styleId="62">
    <w:name w:val="font11"/>
    <w:basedOn w:val="24"/>
    <w:uiPriority w:val="0"/>
    <w:rPr>
      <w:rFonts w:hint="eastAsia" w:ascii="宋体" w:hAnsi="宋体" w:eastAsia="宋体" w:cs="宋体"/>
      <w:color w:val="808080"/>
      <w:sz w:val="22"/>
      <w:szCs w:val="22"/>
      <w:u w:val="none"/>
    </w:rPr>
  </w:style>
  <w:style w:type="character" w:customStyle="1" w:styleId="63">
    <w:name w:val="font21"/>
    <w:basedOn w:val="24"/>
    <w:uiPriority w:val="0"/>
    <w:rPr>
      <w:rFonts w:hint="default" w:ascii="Arial" w:hAnsi="Arial" w:cs="Arial"/>
      <w:color w:val="666666"/>
      <w:sz w:val="22"/>
      <w:szCs w:val="22"/>
      <w:u w:val="none"/>
    </w:rPr>
  </w:style>
  <w:style w:type="character" w:customStyle="1" w:styleId="64">
    <w:name w:val="font01"/>
    <w:basedOn w:val="24"/>
    <w:uiPriority w:val="0"/>
    <w:rPr>
      <w:rFonts w:hint="default" w:ascii="Arial" w:hAnsi="Arial" w:cs="Arial"/>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29</TotalTime>
  <ScaleCrop>false</ScaleCrop>
  <LinksUpToDate>false</LinksUpToDate>
  <CharactersWithSpaces>3430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2020-04-22T18:27:00Z</dcterms:created>
  <dc:creator>树亮 门</dc:creator>
  <cp:lastModifiedBy>繠0</cp:lastModifiedBy>
  <dcterms:modified xsi:type="dcterms:W3CDTF">2021-06-05T10:01:37Z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9D632F47A449FE5F5A2E9F601FF791D4</vt:lpwstr>
  </property>
</Properties>
</file>