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2"/>
        <w:spacing w:line="600" w:lineRule="exact"/>
        <w:jc w:val="center"/>
        <w:outlineLvl w:val="0"/>
        <w:rPr>
          <w:rFonts w:hint="eastAsia" w:ascii="仿宋" w:hAnsi="仿宋" w:eastAsia="仿宋"/>
          <w:b/>
          <w:color w:val="auto"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color w:val="auto"/>
          <w:sz w:val="36"/>
          <w:szCs w:val="36"/>
          <w:lang w:eastAsia="zh-CN"/>
        </w:rPr>
        <w:t>广州应用科技学院</w:t>
      </w:r>
    </w:p>
    <w:p>
      <w:pPr>
        <w:pStyle w:val="42"/>
        <w:spacing w:line="600" w:lineRule="exact"/>
        <w:jc w:val="center"/>
        <w:outlineLvl w:val="0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color w:val="auto"/>
          <w:sz w:val="36"/>
          <w:szCs w:val="36"/>
          <w:lang w:eastAsia="zh-CN"/>
        </w:rPr>
        <w:t>关于肇庆校区实验室家具采购及安装项目</w:t>
      </w:r>
      <w:r>
        <w:rPr>
          <w:rFonts w:hint="eastAsia" w:ascii="仿宋" w:hAnsi="仿宋" w:eastAsia="仿宋"/>
          <w:b/>
          <w:sz w:val="36"/>
          <w:szCs w:val="36"/>
        </w:rPr>
        <w:t>竞争性磋商公告</w:t>
      </w:r>
    </w:p>
    <w:p>
      <w:pPr>
        <w:pStyle w:val="42"/>
        <w:spacing w:line="600" w:lineRule="exact"/>
        <w:jc w:val="center"/>
        <w:outlineLvl w:val="0"/>
        <w:rPr>
          <w:rFonts w:hint="eastAsia" w:ascii="仿宋" w:hAnsi="仿宋" w:eastAsia="仿宋"/>
          <w:b/>
          <w:sz w:val="36"/>
          <w:szCs w:val="36"/>
        </w:rPr>
      </w:pPr>
    </w:p>
    <w:p>
      <w:pPr>
        <w:spacing w:after="0" w:line="500" w:lineRule="exact"/>
        <w:ind w:firstLine="560" w:firstLineChars="200"/>
        <w:jc w:val="left"/>
        <w:rPr>
          <w:rFonts w:ascii="仿宋" w:hAnsi="仿宋" w:eastAsia="仿宋" w:cs="Times New Roman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  <w:t>根据公开、公平、公正的原则，广州应用科技学院肇庆校区依据建设需求，现将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lang w:val="en-US" w:eastAsia="zh-CN"/>
        </w:rPr>
        <w:t>实验室家具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  <w:t>进行采购竞争性磋商，邀请符合资格且国内有意向商家参与。</w:t>
      </w:r>
    </w:p>
    <w:p>
      <w:pPr>
        <w:widowControl w:val="0"/>
        <w:numPr>
          <w:ilvl w:val="1"/>
          <w:numId w:val="1"/>
        </w:numPr>
        <w:spacing w:after="0" w:line="500" w:lineRule="exact"/>
        <w:ind w:left="639" w:leftChars="0" w:firstLineChars="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磋商编号：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A-ZB2021-35</w:t>
      </w:r>
    </w:p>
    <w:p>
      <w:pPr>
        <w:widowControl w:val="0"/>
        <w:numPr>
          <w:ilvl w:val="1"/>
          <w:numId w:val="1"/>
        </w:numPr>
        <w:spacing w:after="0" w:line="500" w:lineRule="exact"/>
        <w:ind w:left="639" w:leftChars="0" w:firstLineChars="0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磋商货物：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实验室家具一批。要求所有板材不能使用刨花板，主桌面使用≥25mm厚E1级、密度≥700kg/m³的中纤板；所有钢铁材料经过磷化酸洗。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>需提供中纤板、沙发海绵、西皮面料和重要五金件的小样。</w:t>
      </w:r>
    </w:p>
    <w:p>
      <w:pPr>
        <w:widowControl w:val="0"/>
        <w:numPr>
          <w:ilvl w:val="1"/>
          <w:numId w:val="1"/>
        </w:numPr>
        <w:spacing w:after="0" w:line="500" w:lineRule="exact"/>
        <w:ind w:left="639" w:leftChars="0" w:firstLineChars="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数量及主要技术要求:详见《竞争性磋商货物一览表》。</w:t>
      </w:r>
    </w:p>
    <w:p>
      <w:pPr>
        <w:widowControl w:val="0"/>
        <w:numPr>
          <w:ilvl w:val="1"/>
          <w:numId w:val="1"/>
        </w:numPr>
        <w:spacing w:after="0" w:line="500" w:lineRule="exact"/>
        <w:ind w:left="639" w:leftChars="0" w:firstLineChars="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参与人资格标准：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（1）参与人应具有独立法人资格，具有独立承担民事责任能力的生产厂商。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（2）参与人应具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有提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供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家具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和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相关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服务的资格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及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能力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。</w:t>
      </w:r>
    </w:p>
    <w:p>
      <w:pPr>
        <w:spacing w:after="0" w:line="500" w:lineRule="exact"/>
        <w:ind w:left="1130" w:leftChars="322" w:hanging="422" w:hangingChars="151"/>
        <w:jc w:val="left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（3）参与人应遵守中国的有关法律、法规和规章的规定。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（4）参与人具有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年以上（包括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年）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个以上同类项目销售和良好的售后服务应用成功案例,近三年未发生重大安全或质量事故。</w:t>
      </w:r>
    </w:p>
    <w:p>
      <w:pPr>
        <w:spacing w:after="0" w:line="500" w:lineRule="exact"/>
        <w:ind w:left="1130" w:leftChars="322" w:hanging="422" w:hangingChars="151"/>
        <w:jc w:val="left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（5）参与人须有良好的商业信誉和健全的财务制度。</w:t>
      </w:r>
    </w:p>
    <w:p>
      <w:pPr>
        <w:spacing w:after="0" w:line="500" w:lineRule="exact"/>
        <w:ind w:left="1130" w:leftChars="322" w:hanging="422" w:hangingChars="151"/>
        <w:jc w:val="left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（6）参与人有依法缴纳税金的良好记录。</w:t>
      </w:r>
    </w:p>
    <w:p>
      <w:pPr>
        <w:widowControl w:val="0"/>
        <w:numPr>
          <w:ilvl w:val="1"/>
          <w:numId w:val="1"/>
        </w:numPr>
        <w:spacing w:after="0" w:line="500" w:lineRule="exact"/>
        <w:ind w:left="639" w:leftChars="0" w:firstLineChars="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磋商文件购买时间：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shd w:val="clear" w:color="auto" w:fill="FFFFFF"/>
        </w:rPr>
        <w:t>20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07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01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shd w:val="clear" w:color="auto" w:fill="FFFFFF"/>
        </w:rPr>
        <w:t>日至20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07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07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shd w:val="clear" w:color="auto" w:fill="FFFFFF"/>
        </w:rPr>
        <w:t>日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上午8:00至12:00、下午14:30至1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6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:30;</w:t>
      </w:r>
    </w:p>
    <w:p>
      <w:pPr>
        <w:widowControl w:val="0"/>
        <w:numPr>
          <w:ilvl w:val="1"/>
          <w:numId w:val="1"/>
        </w:numPr>
        <w:spacing w:after="0" w:line="500" w:lineRule="exact"/>
        <w:ind w:left="639" w:leftChars="0" w:firstLineChars="0"/>
        <w:rPr>
          <w:rFonts w:ascii="仿宋" w:hAnsi="仿宋" w:eastAsia="仿宋"/>
          <w:b/>
          <w:bCs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正式磋商文件售价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600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元人民币，购买须采用转账形式，磋商文件售出不退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购买须采用转账形式（以参与投标公司的账户），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并扫描转账单、营业执照及授权书发送至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>微信账号：13229405771（请备注公司名称+姓名+项目名称）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。</w:t>
      </w:r>
    </w:p>
    <w:p>
      <w:pPr>
        <w:widowControl w:val="0"/>
        <w:numPr>
          <w:ilvl w:val="1"/>
          <w:numId w:val="1"/>
        </w:numPr>
        <w:spacing w:after="0" w:line="500" w:lineRule="exact"/>
        <w:ind w:left="639" w:leftChars="0" w:firstLineChars="0"/>
        <w:rPr>
          <w:rFonts w:ascii="仿宋" w:hAnsi="仿宋" w:eastAsia="仿宋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响应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文件格式要求：</w:t>
      </w:r>
    </w:p>
    <w:p>
      <w:pPr>
        <w:numPr>
          <w:ilvl w:val="0"/>
          <w:numId w:val="2"/>
        </w:numPr>
        <w:spacing w:after="0" w:line="500" w:lineRule="exact"/>
        <w:ind w:left="1132" w:leftChars="322" w:hanging="424" w:hangingChars="151"/>
        <w:jc w:val="left"/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>响应文件一式三份，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>只包含产品技术和商务内容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val="zh-CN"/>
        </w:rPr>
        <w:t>标明所报各种货物的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>规格型号、材料参数、数量，但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>不含产品价格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>。</w:t>
      </w:r>
    </w:p>
    <w:p>
      <w:pPr>
        <w:numPr>
          <w:ilvl w:val="0"/>
          <w:numId w:val="2"/>
        </w:numPr>
        <w:spacing w:after="0" w:line="500" w:lineRule="exact"/>
        <w:ind w:left="1132" w:leftChars="322" w:hanging="424" w:hangingChars="151"/>
        <w:jc w:val="left"/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>价格单独封装，一式三份。按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《竞争性磋商货物一览表》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val="zh-CN"/>
        </w:rPr>
        <w:t>详细报价，标明所报各种货物的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>规格型号、材料参数、数量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val="zh-CN"/>
        </w:rPr>
        <w:t>和金额。</w:t>
      </w:r>
    </w:p>
    <w:p>
      <w:pPr>
        <w:widowControl w:val="0"/>
        <w:numPr>
          <w:ilvl w:val="1"/>
          <w:numId w:val="1"/>
        </w:numPr>
        <w:spacing w:after="0" w:line="500" w:lineRule="exact"/>
        <w:ind w:left="639" w:leftChars="0" w:firstLineChars="0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响应文件递交截止时间：20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日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上午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1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:00前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。</w:t>
      </w:r>
    </w:p>
    <w:p>
      <w:pPr>
        <w:widowControl w:val="0"/>
        <w:numPr>
          <w:ilvl w:val="1"/>
          <w:numId w:val="1"/>
        </w:numPr>
        <w:spacing w:after="0" w:line="500" w:lineRule="exact"/>
        <w:ind w:left="639" w:leftChars="0" w:firstLineChars="0"/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响应文件递交地点：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广州市增城区朱村街朱村大道东432号广州应用科技学院资产管理与采购处办公室。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联系人：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袁艳莲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，电话：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13229405771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。</w:t>
      </w:r>
    </w:p>
    <w:p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651" w:leftChars="0" w:hanging="431" w:firstLineChars="0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正式磋商时间及地点：</w:t>
      </w:r>
    </w:p>
    <w:p>
      <w:pPr>
        <w:widowControl w:val="0"/>
        <w:numPr>
          <w:ilvl w:val="0"/>
          <w:numId w:val="0"/>
        </w:numPr>
        <w:spacing w:after="0" w:line="500" w:lineRule="exact"/>
        <w:ind w:firstLine="560" w:firstLineChars="200"/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正式磋商时间：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2021年7月13日</w:t>
      </w:r>
    </w:p>
    <w:p>
      <w:pPr>
        <w:widowControl w:val="0"/>
        <w:numPr>
          <w:ilvl w:val="0"/>
          <w:numId w:val="0"/>
        </w:numPr>
        <w:spacing w:after="0" w:line="500" w:lineRule="exact"/>
        <w:ind w:firstLine="560" w:firstLineChars="200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正式磋商地点：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广州市增城区朱村街朱村大道东432号广州应用科技学院。</w:t>
      </w:r>
    </w:p>
    <w:p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651" w:leftChars="0" w:hanging="431" w:firstLineChars="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参加本项目的参与人须在规定的时间内购买磋商文件，本项目不接受未购买磋商文件供应商的参与，且不予以书面通知磋商文件补充内容等。</w:t>
      </w:r>
    </w:p>
    <w:p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671" w:leftChars="0" w:hanging="431" w:firstLineChars="0"/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本项目需缴纳磋商保证金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2万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元，成交参与人磋商保证金自动转为履约质保金，履约质保金在验收合格日算起二十个工作日内无息退还，未成交参与人的磋商保证金，将按竞争性磋商文件规定在确定成交参与人成交通知书发出之后，二十个工作日办理原额无息退还手续。</w:t>
      </w:r>
    </w:p>
    <w:p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671" w:leftChars="0" w:hanging="431" w:firstLineChars="0"/>
        <w:rPr>
          <w:rFonts w:ascii="仿宋" w:hAnsi="仿宋" w:eastAsia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本项目监督投诉部门：中教集团内控部；投诉电话： 0791-88102608；</w:t>
      </w:r>
    </w:p>
    <w:p>
      <w:pPr>
        <w:spacing w:after="0" w:line="520" w:lineRule="exact"/>
        <w:ind w:left="839"/>
        <w:rPr>
          <w:rFonts w:ascii="仿宋" w:hAnsi="仿宋" w:eastAsia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投诉邮箱：Neikongbu@educationgroup.cn</w:t>
      </w:r>
    </w:p>
    <w:p>
      <w:pPr>
        <w:spacing w:after="0" w:line="520" w:lineRule="exact"/>
        <w:ind w:left="839"/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本项目最终成交结果会在中教集团后勤贤知平台“中标信息公示”板块公示，网址：www.ceghqxz.com</w:t>
      </w:r>
    </w:p>
    <w:p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671" w:leftChars="0" w:hanging="431" w:firstLineChars="0"/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磋商文件购买及保证金汇款账号  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 xml:space="preserve">  </w:t>
      </w:r>
    </w:p>
    <w:p>
      <w:pPr>
        <w:widowControl w:val="0"/>
        <w:numPr>
          <w:ilvl w:val="0"/>
          <w:numId w:val="0"/>
        </w:numPr>
        <w:spacing w:after="0" w:line="500" w:lineRule="exact"/>
        <w:ind w:firstLine="840" w:firstLineChars="300"/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开户名称：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广州应用科技学院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textAlignment w:val="auto"/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账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 xml:space="preserve">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号：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3662 7700 1000 0455 89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textAlignment w:val="auto"/>
        <w:rPr>
          <w:color w:val="auto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开户银行：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广州农村商业银行荔城支行</w:t>
      </w:r>
    </w:p>
    <w:p>
      <w:pPr>
        <w:spacing w:line="500" w:lineRule="exact"/>
        <w:ind w:firstLine="6300" w:firstLineChars="2250"/>
        <w:jc w:val="righ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line="500" w:lineRule="exact"/>
        <w:ind w:firstLine="6300" w:firstLineChars="2250"/>
        <w:jc w:val="righ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广州应用科技学院</w:t>
      </w:r>
    </w:p>
    <w:p>
      <w:pPr>
        <w:spacing w:line="500" w:lineRule="exact"/>
        <w:ind w:firstLine="6300" w:firstLineChars="2250"/>
        <w:jc w:val="right"/>
        <w:rPr>
          <w:color w:val="auto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20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07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01</w:t>
      </w:r>
      <w:r>
        <w:rPr>
          <w:rFonts w:hint="eastAsia" w:ascii="仿宋" w:hAnsi="仿宋" w:eastAsia="仿宋"/>
          <w:color w:val="auto"/>
          <w:sz w:val="28"/>
          <w:szCs w:val="28"/>
        </w:rPr>
        <w:t>日</w:t>
      </w:r>
    </w:p>
    <w:sectPr>
      <w:headerReference r:id="rId5" w:type="default"/>
      <w:footerReference r:id="rId6" w:type="default"/>
      <w:pgSz w:w="11906" w:h="16838"/>
      <w:pgMar w:top="1134" w:right="1134" w:bottom="1134" w:left="1134" w:header="851" w:footer="51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rPr>
        <w:rFonts w:hint="eastAsia"/>
      </w:rPr>
      <w:t>香港联交所上市（股票代码</w:t>
    </w:r>
    <w:r>
      <w:t>839</w:t>
    </w:r>
    <w:r>
      <w:rPr>
        <w:rFonts w:hint="eastAsia"/>
      </w:rPr>
      <w:t>）</w:t>
    </w:r>
    <w:r>
      <w:t>HKEx Stock Code:839</w:t>
    </w:r>
  </w:p>
  <w:p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rFonts w:hint="eastAsia" w:ascii="仿宋" w:hAnsi="仿宋" w:eastAsia="仿宋" w:cs="仿宋"/>
        <w:sz w:val="21"/>
        <w:szCs w:val="21"/>
      </w:rPr>
      <w:t>广州应用科技学院</w:t>
    </w:r>
    <w:r>
      <w:rPr>
        <w:rFonts w:hint="eastAsia" w:ascii="仿宋" w:hAnsi="仿宋" w:eastAsia="仿宋" w:cs="仿宋"/>
        <w:sz w:val="21"/>
        <w:szCs w:val="21"/>
        <w:lang w:eastAsia="zh-CN"/>
      </w:rPr>
      <w:t>关于肇庆校区实验室家具采购及安装项</w:t>
    </w:r>
    <w:r>
      <w:rPr>
        <w:rFonts w:hint="eastAsia" w:ascii="仿宋" w:hAnsi="仿宋" w:eastAsia="仿宋" w:cs="仿宋"/>
        <w:sz w:val="21"/>
        <w:szCs w:val="21"/>
      </w:rPr>
      <w:t>目（项目编号</w:t>
    </w:r>
    <w:r>
      <w:rPr>
        <w:rFonts w:hint="eastAsia" w:ascii="仿宋" w:hAnsi="仿宋" w:eastAsia="仿宋" w:cs="仿宋"/>
        <w:sz w:val="21"/>
        <w:szCs w:val="21"/>
        <w:lang w:val="en-US" w:eastAsia="zh-CN"/>
      </w:rPr>
      <w:t>A-ZB2021-35</w:t>
    </w:r>
    <w:r>
      <w:rPr>
        <w:rFonts w:hint="eastAsia" w:ascii="仿宋" w:hAnsi="仿宋" w:eastAsia="仿宋" w:cs="仿宋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CE0CAE"/>
    <w:multiLevelType w:val="multilevel"/>
    <w:tmpl w:val="5CCE0CAE"/>
    <w:lvl w:ilvl="0" w:tentative="0">
      <w:start w:val="1"/>
      <w:numFmt w:val="decimal"/>
      <w:lvlText w:val="%1."/>
      <w:lvlJc w:val="left"/>
      <w:pPr>
        <w:tabs>
          <w:tab w:val="left" w:pos="1469"/>
        </w:tabs>
        <w:ind w:left="1469" w:hanging="419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839"/>
        </w:tabs>
        <w:ind w:left="839" w:hanging="419"/>
      </w:pPr>
      <w:rPr>
        <w:rFonts w:hint="eastAsia"/>
        <w:b w:val="0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E50CF77"/>
    <w:multiLevelType w:val="singleLevel"/>
    <w:tmpl w:val="6E50CF7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A8"/>
    <w:rsid w:val="00043155"/>
    <w:rsid w:val="000944A8"/>
    <w:rsid w:val="00232062"/>
    <w:rsid w:val="00235C32"/>
    <w:rsid w:val="002E1D48"/>
    <w:rsid w:val="003206DE"/>
    <w:rsid w:val="0048151D"/>
    <w:rsid w:val="00490F8E"/>
    <w:rsid w:val="005E26B3"/>
    <w:rsid w:val="006033E8"/>
    <w:rsid w:val="006E7DCC"/>
    <w:rsid w:val="008C59EE"/>
    <w:rsid w:val="009B4D7D"/>
    <w:rsid w:val="00A04D87"/>
    <w:rsid w:val="00A11DF7"/>
    <w:rsid w:val="00A27464"/>
    <w:rsid w:val="00A67585"/>
    <w:rsid w:val="00AB0DE2"/>
    <w:rsid w:val="00AD3A90"/>
    <w:rsid w:val="00B7469B"/>
    <w:rsid w:val="00C13DA1"/>
    <w:rsid w:val="00D36D52"/>
    <w:rsid w:val="00D7483F"/>
    <w:rsid w:val="00E40ADD"/>
    <w:rsid w:val="00ED48A0"/>
    <w:rsid w:val="00F40885"/>
    <w:rsid w:val="0B763D93"/>
    <w:rsid w:val="0EDC290D"/>
    <w:rsid w:val="116346F2"/>
    <w:rsid w:val="12212E7C"/>
    <w:rsid w:val="1F4E3EA0"/>
    <w:rsid w:val="24B70E50"/>
    <w:rsid w:val="2BAD1CC5"/>
    <w:rsid w:val="504211B4"/>
    <w:rsid w:val="50597BDC"/>
    <w:rsid w:val="54D800A5"/>
    <w:rsid w:val="57E70213"/>
    <w:rsid w:val="6407124E"/>
    <w:rsid w:val="6E466822"/>
    <w:rsid w:val="7AC8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2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20" w:after="40"/>
      <w:outlineLvl w:val="0"/>
    </w:pPr>
    <w:rPr>
      <w:rFonts w:asciiTheme="majorHAnsi" w:hAnsiTheme="majorHAnsi" w:eastAsiaTheme="majorEastAsia" w:cstheme="majorBidi"/>
      <w:b/>
      <w:bCs/>
      <w:caps/>
      <w:spacing w:val="4"/>
      <w:sz w:val="28"/>
      <w:szCs w:val="2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20" w:after="0"/>
      <w:outlineLvl w:val="1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20" w:after="0"/>
      <w:outlineLvl w:val="2"/>
    </w:pPr>
    <w:rPr>
      <w:rFonts w:asciiTheme="majorHAnsi" w:hAnsiTheme="majorHAnsi" w:eastAsiaTheme="majorEastAsia" w:cstheme="majorBidi"/>
      <w:spacing w:val="4"/>
      <w:sz w:val="24"/>
      <w:szCs w:val="24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120" w:after="0"/>
      <w:outlineLvl w:val="3"/>
    </w:pPr>
    <w:rPr>
      <w:rFonts w:asciiTheme="majorHAnsi" w:hAnsiTheme="majorHAnsi" w:eastAsiaTheme="majorEastAsia" w:cstheme="majorBidi"/>
      <w:i/>
      <w:iCs/>
      <w:sz w:val="24"/>
      <w:szCs w:val="24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120" w:after="0"/>
      <w:outlineLvl w:val="4"/>
    </w:pPr>
    <w:rPr>
      <w:rFonts w:asciiTheme="majorHAnsi" w:hAnsiTheme="majorHAnsi" w:eastAsiaTheme="majorEastAsia" w:cstheme="majorBidi"/>
      <w:b/>
      <w:bCs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120" w:after="0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120" w:after="0"/>
      <w:outlineLvl w:val="6"/>
    </w:pPr>
    <w:rPr>
      <w:i/>
      <w:iCs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spacing w:before="120" w:after="0"/>
      <w:outlineLvl w:val="7"/>
    </w:pPr>
    <w:rPr>
      <w:b/>
      <w:bCs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spacing w:before="120" w:after="0"/>
      <w:outlineLvl w:val="8"/>
    </w:pPr>
    <w:rPr>
      <w:i/>
      <w:iCs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b/>
      <w:bCs/>
      <w:sz w:val="18"/>
      <w:szCs w:val="18"/>
    </w:rPr>
  </w:style>
  <w:style w:type="paragraph" w:styleId="12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3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spacing w:after="240"/>
      <w:jc w:val="center"/>
    </w:pPr>
    <w:rPr>
      <w:rFonts w:asciiTheme="majorHAnsi" w:hAnsiTheme="majorHAnsi" w:eastAsiaTheme="majorEastAsia" w:cstheme="majorBidi"/>
      <w:sz w:val="24"/>
      <w:szCs w:val="24"/>
    </w:rPr>
  </w:style>
  <w:style w:type="paragraph" w:styleId="15">
    <w:name w:val="Title"/>
    <w:basedOn w:val="1"/>
    <w:next w:val="1"/>
    <w:link w:val="29"/>
    <w:qFormat/>
    <w:uiPriority w:val="10"/>
    <w:pPr>
      <w:spacing w:after="0" w:line="240" w:lineRule="auto"/>
      <w:contextualSpacing/>
      <w:jc w:val="center"/>
    </w:pPr>
    <w:rPr>
      <w:rFonts w:asciiTheme="majorHAnsi" w:hAnsiTheme="majorHAnsi" w:eastAsiaTheme="majorEastAsia" w:cstheme="majorBidi"/>
      <w:b/>
      <w:bCs/>
      <w:spacing w:val="-7"/>
      <w:sz w:val="48"/>
      <w:szCs w:val="48"/>
    </w:rPr>
  </w:style>
  <w:style w:type="character" w:styleId="18">
    <w:name w:val="Strong"/>
    <w:basedOn w:val="17"/>
    <w:qFormat/>
    <w:uiPriority w:val="22"/>
    <w:rPr>
      <w:b/>
      <w:bCs/>
      <w:color w:val="auto"/>
    </w:rPr>
  </w:style>
  <w:style w:type="character" w:styleId="19">
    <w:name w:val="Emphasis"/>
    <w:basedOn w:val="17"/>
    <w:qFormat/>
    <w:uiPriority w:val="20"/>
    <w:rPr>
      <w:i/>
      <w:iCs/>
      <w:color w:val="auto"/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b/>
      <w:bCs/>
      <w:caps/>
      <w:spacing w:val="4"/>
      <w:sz w:val="28"/>
      <w:szCs w:val="28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spacing w:val="4"/>
      <w:sz w:val="24"/>
      <w:szCs w:val="24"/>
    </w:rPr>
  </w:style>
  <w:style w:type="character" w:customStyle="1" w:styleId="23">
    <w:name w:val="标题 4 字符"/>
    <w:basedOn w:val="17"/>
    <w:link w:val="5"/>
    <w:semiHidden/>
    <w:qFormat/>
    <w:uiPriority w:val="9"/>
    <w:rPr>
      <w:rFonts w:asciiTheme="majorHAnsi" w:hAnsiTheme="majorHAnsi" w:eastAsiaTheme="majorEastAsia" w:cstheme="majorBidi"/>
      <w:i/>
      <w:iCs/>
      <w:sz w:val="24"/>
      <w:szCs w:val="24"/>
    </w:rPr>
  </w:style>
  <w:style w:type="character" w:customStyle="1" w:styleId="24">
    <w:name w:val="标题 5 字符"/>
    <w:basedOn w:val="17"/>
    <w:link w:val="6"/>
    <w:semiHidden/>
    <w:qFormat/>
    <w:uiPriority w:val="9"/>
    <w:rPr>
      <w:rFonts w:asciiTheme="majorHAnsi" w:hAnsiTheme="majorHAnsi" w:eastAsiaTheme="majorEastAsia" w:cstheme="majorBidi"/>
      <w:b/>
      <w:bCs/>
    </w:rPr>
  </w:style>
  <w:style w:type="character" w:customStyle="1" w:styleId="25">
    <w:name w:val="标题 6 字符"/>
    <w:basedOn w:val="17"/>
    <w:link w:val="7"/>
    <w:semiHidden/>
    <w:qFormat/>
    <w:uiPriority w:val="9"/>
    <w:rPr>
      <w:rFonts w:asciiTheme="majorHAnsi" w:hAnsiTheme="majorHAnsi" w:eastAsiaTheme="majorEastAsia" w:cstheme="majorBidi"/>
      <w:b/>
      <w:bCs/>
      <w:i/>
      <w:iCs/>
    </w:rPr>
  </w:style>
  <w:style w:type="character" w:customStyle="1" w:styleId="26">
    <w:name w:val="标题 7 字符"/>
    <w:basedOn w:val="17"/>
    <w:link w:val="8"/>
    <w:semiHidden/>
    <w:qFormat/>
    <w:uiPriority w:val="9"/>
    <w:rPr>
      <w:i/>
      <w:iCs/>
    </w:rPr>
  </w:style>
  <w:style w:type="character" w:customStyle="1" w:styleId="27">
    <w:name w:val="标题 8 字符"/>
    <w:basedOn w:val="17"/>
    <w:link w:val="9"/>
    <w:semiHidden/>
    <w:qFormat/>
    <w:uiPriority w:val="9"/>
    <w:rPr>
      <w:b/>
      <w:bCs/>
    </w:rPr>
  </w:style>
  <w:style w:type="character" w:customStyle="1" w:styleId="28">
    <w:name w:val="标题 9 字符"/>
    <w:basedOn w:val="17"/>
    <w:link w:val="10"/>
    <w:semiHidden/>
    <w:qFormat/>
    <w:uiPriority w:val="9"/>
    <w:rPr>
      <w:i/>
      <w:iCs/>
    </w:rPr>
  </w:style>
  <w:style w:type="character" w:customStyle="1" w:styleId="29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b/>
      <w:bCs/>
      <w:spacing w:val="-7"/>
      <w:sz w:val="48"/>
      <w:szCs w:val="48"/>
    </w:rPr>
  </w:style>
  <w:style w:type="character" w:customStyle="1" w:styleId="30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sz w:val="24"/>
      <w:szCs w:val="24"/>
    </w:rPr>
  </w:style>
  <w:style w:type="paragraph" w:styleId="31">
    <w:name w:val="No Spacing"/>
    <w:qFormat/>
    <w:uiPriority w:val="1"/>
    <w:pPr>
      <w:spacing w:after="0" w:line="240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32">
    <w:name w:val="Quote"/>
    <w:basedOn w:val="1"/>
    <w:next w:val="1"/>
    <w:link w:val="33"/>
    <w:qFormat/>
    <w:uiPriority w:val="29"/>
    <w:pPr>
      <w:spacing w:before="200" w:line="264" w:lineRule="auto"/>
      <w:ind w:left="864" w:right="864"/>
      <w:jc w:val="center"/>
    </w:pPr>
    <w:rPr>
      <w:rFonts w:asciiTheme="majorHAnsi" w:hAnsiTheme="majorHAnsi" w:eastAsiaTheme="majorEastAsia" w:cstheme="majorBidi"/>
      <w:i/>
      <w:iCs/>
      <w:sz w:val="24"/>
      <w:szCs w:val="24"/>
    </w:rPr>
  </w:style>
  <w:style w:type="character" w:customStyle="1" w:styleId="33">
    <w:name w:val="引用 字符"/>
    <w:basedOn w:val="17"/>
    <w:link w:val="32"/>
    <w:qFormat/>
    <w:uiPriority w:val="29"/>
    <w:rPr>
      <w:rFonts w:asciiTheme="majorHAnsi" w:hAnsiTheme="majorHAnsi" w:eastAsiaTheme="majorEastAsia" w:cstheme="majorBidi"/>
      <w:i/>
      <w:iCs/>
      <w:sz w:val="24"/>
      <w:szCs w:val="24"/>
    </w:rPr>
  </w:style>
  <w:style w:type="paragraph" w:styleId="34">
    <w:name w:val="Intense Quote"/>
    <w:basedOn w:val="1"/>
    <w:next w:val="1"/>
    <w:link w:val="35"/>
    <w:qFormat/>
    <w:uiPriority w:val="30"/>
    <w:pPr>
      <w:spacing w:before="100" w:beforeAutospacing="1" w:after="240"/>
      <w:ind w:left="936" w:right="936"/>
      <w:jc w:val="center"/>
    </w:pPr>
    <w:rPr>
      <w:rFonts w:asciiTheme="majorHAnsi" w:hAnsiTheme="majorHAnsi" w:eastAsiaTheme="majorEastAsia" w:cstheme="majorBidi"/>
      <w:sz w:val="26"/>
      <w:szCs w:val="26"/>
    </w:rPr>
  </w:style>
  <w:style w:type="character" w:customStyle="1" w:styleId="35">
    <w:name w:val="明显引用 字符"/>
    <w:basedOn w:val="17"/>
    <w:link w:val="34"/>
    <w:qFormat/>
    <w:uiPriority w:val="30"/>
    <w:rPr>
      <w:rFonts w:asciiTheme="majorHAnsi" w:hAnsiTheme="majorHAnsi" w:eastAsiaTheme="majorEastAsia" w:cstheme="majorBidi"/>
      <w:sz w:val="26"/>
      <w:szCs w:val="26"/>
    </w:rPr>
  </w:style>
  <w:style w:type="character" w:customStyle="1" w:styleId="36">
    <w:name w:val="Subtle Emphasis"/>
    <w:basedOn w:val="17"/>
    <w:qFormat/>
    <w:uiPriority w:val="19"/>
    <w:rPr>
      <w:i/>
      <w:iCs/>
      <w:color w:val="auto"/>
    </w:rPr>
  </w:style>
  <w:style w:type="character" w:customStyle="1" w:styleId="37">
    <w:name w:val="Intense Emphasis"/>
    <w:basedOn w:val="17"/>
    <w:qFormat/>
    <w:uiPriority w:val="21"/>
    <w:rPr>
      <w:b/>
      <w:bCs/>
      <w:i/>
      <w:iCs/>
      <w:color w:val="auto"/>
    </w:rPr>
  </w:style>
  <w:style w:type="character" w:customStyle="1" w:styleId="38">
    <w:name w:val="Subtle Reference"/>
    <w:basedOn w:val="17"/>
    <w:qFormat/>
    <w:uiPriority w:val="31"/>
    <w:rPr>
      <w:smallCaps/>
      <w:color w:val="auto"/>
      <w:u w:val="single" w:color="7E7E7E" w:themeColor="text1" w:themeTint="80"/>
    </w:rPr>
  </w:style>
  <w:style w:type="character" w:customStyle="1" w:styleId="39">
    <w:name w:val="Intense Reference"/>
    <w:basedOn w:val="17"/>
    <w:qFormat/>
    <w:uiPriority w:val="32"/>
    <w:rPr>
      <w:b/>
      <w:bCs/>
      <w:smallCaps/>
      <w:color w:val="auto"/>
      <w:u w:val="single"/>
    </w:rPr>
  </w:style>
  <w:style w:type="character" w:customStyle="1" w:styleId="40">
    <w:name w:val="Book Title"/>
    <w:basedOn w:val="17"/>
    <w:qFormat/>
    <w:uiPriority w:val="33"/>
    <w:rPr>
      <w:b/>
      <w:bCs/>
      <w:smallCaps/>
      <w:color w:val="auto"/>
    </w:rPr>
  </w:style>
  <w:style w:type="paragraph" w:customStyle="1" w:styleId="41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customStyle="1" w:styleId="42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43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44">
    <w:name w:val="页脚 字符"/>
    <w:basedOn w:val="17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肥皂">
  <a:themeElements>
    <a:clrScheme name="肥皂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肥皂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肥皂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927</Characters>
  <Lines>7</Lines>
  <Paragraphs>2</Paragraphs>
  <TotalTime>0</TotalTime>
  <ScaleCrop>false</ScaleCrop>
  <LinksUpToDate>false</LinksUpToDate>
  <CharactersWithSpaces>1087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2019-06-07T14:51:00Z</dcterms:created>
  <dc:creator>树亮 门</dc:creator>
  <cp:lastModifiedBy>九方</cp:lastModifiedBy>
  <dcterms:modified xsi:type="dcterms:W3CDTF">2021-07-01T03:35:07Z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E299A378E82C47D2A5BB99403A7848F1</vt:lpwstr>
  </property>
</Properties>
</file>