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bookmarkStart w:id="185" w:name="_GoBack"/>
      <w:r>
        <w:rPr>
          <w:rFonts w:hint="eastAsia" w:ascii="仿宋" w:hAnsi="仿宋" w:eastAsia="仿宋"/>
          <w:b/>
          <w:sz w:val="44"/>
          <w:szCs w:val="44"/>
        </w:rPr>
        <w:t>关于</w:t>
      </w:r>
      <w:r>
        <w:rPr>
          <w:rFonts w:hint="eastAsia" w:ascii="仿宋" w:hAnsi="仿宋" w:eastAsia="仿宋"/>
          <w:b/>
          <w:sz w:val="44"/>
          <w:szCs w:val="44"/>
          <w:lang w:val="en-US" w:eastAsia="zh-CN"/>
        </w:rPr>
        <w:t>管理会计实践教学平台采购</w:t>
      </w:r>
      <w:r>
        <w:rPr>
          <w:rFonts w:hint="eastAsia" w:ascii="仿宋" w:hAnsi="仿宋" w:eastAsia="仿宋"/>
          <w:b/>
          <w:sz w:val="44"/>
          <w:szCs w:val="44"/>
        </w:rPr>
        <w:t>项目</w:t>
      </w:r>
      <w:bookmarkEnd w:id="185"/>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000000" w:themeColor="text1"/>
          <w:sz w:val="36"/>
          <w:szCs w:val="36"/>
          <w:lang w:val="en-US" w:eastAsia="zh-CN"/>
          <w14:textFill>
            <w14:solidFill>
              <w14:schemeClr w14:val="tx1"/>
            </w14:solidFill>
          </w14:textFill>
        </w:rPr>
      </w:pPr>
      <w:r>
        <w:rPr>
          <w:rFonts w:hint="eastAsia" w:ascii="仿宋" w:hAnsi="仿宋" w:eastAsia="仿宋"/>
          <w:b/>
          <w:sz w:val="36"/>
          <w:szCs w:val="36"/>
        </w:rPr>
        <w:t>项目编号：</w:t>
      </w:r>
      <w:r>
        <w:rPr>
          <w:rFonts w:hint="eastAsia" w:ascii="仿宋" w:hAnsi="仿宋" w:eastAsia="仿宋"/>
          <w:b/>
          <w:sz w:val="36"/>
          <w:szCs w:val="36"/>
          <w:lang w:val="en-US" w:eastAsia="zh-CN"/>
        </w:rPr>
        <w:t>B</w:t>
      </w:r>
      <w:r>
        <w:rPr>
          <w:rFonts w:hint="eastAsia" w:ascii="仿宋" w:hAnsi="仿宋" w:eastAsia="仿宋"/>
          <w:b/>
          <w:color w:val="000000" w:themeColor="text1"/>
          <w:sz w:val="36"/>
          <w:szCs w:val="36"/>
          <w:lang w:val="en-US" w:eastAsia="zh-CN"/>
          <w14:textFill>
            <w14:solidFill>
              <w14:schemeClr w14:val="tx1"/>
            </w14:solidFill>
          </w14:textFill>
        </w:rPr>
        <w:t>-XJ2021-21</w:t>
      </w:r>
    </w:p>
    <w:p>
      <w:pPr>
        <w:spacing w:line="500" w:lineRule="exact"/>
        <w:ind w:firstLine="2331" w:firstLineChars="645"/>
        <w:jc w:val="both"/>
        <w:rPr>
          <w:rFonts w:hint="default" w:ascii="仿宋" w:hAnsi="仿宋" w:eastAsia="仿宋"/>
          <w:b/>
          <w:color w:val="FF0000"/>
          <w:sz w:val="36"/>
          <w:szCs w:val="36"/>
          <w:lang w:val="en-US" w:eastAsia="zh-CN"/>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66870861"/>
      <w:bookmarkStart w:id="5" w:name="_Toc267059161"/>
      <w:bookmarkStart w:id="6" w:name="_Toc212526081"/>
      <w:bookmarkStart w:id="7" w:name="_Toc170798743"/>
      <w:bookmarkStart w:id="8" w:name="_Toc216241307"/>
      <w:bookmarkStart w:id="9" w:name="_Toc267059786"/>
      <w:bookmarkStart w:id="10" w:name="_Toc177985424"/>
      <w:bookmarkStart w:id="11" w:name="_Toc236021402"/>
      <w:bookmarkStart w:id="12" w:name="_Toc258401210"/>
      <w:bookmarkStart w:id="13" w:name="_Toc235438227"/>
      <w:bookmarkStart w:id="14" w:name="_Toc235437942"/>
      <w:bookmarkStart w:id="15" w:name="_Toc212456146"/>
      <w:bookmarkStart w:id="16" w:name="_Toc212454753"/>
      <w:bookmarkStart w:id="17" w:name="_Toc267059633"/>
      <w:bookmarkStart w:id="18" w:name="_Toc219800200"/>
      <w:bookmarkStart w:id="19" w:name="_Toc217891359"/>
      <w:bookmarkStart w:id="20" w:name="_Toc254790852"/>
      <w:bookmarkStart w:id="21" w:name="_Toc253066567"/>
      <w:bookmarkStart w:id="22" w:name="_Toc255974963"/>
      <w:bookmarkStart w:id="23" w:name="_Toc267059899"/>
      <w:bookmarkStart w:id="24" w:name="_Toc267060407"/>
      <w:bookmarkStart w:id="25" w:name="_Toc211937196"/>
      <w:bookmarkStart w:id="26" w:name="_Toc266868624"/>
      <w:bookmarkStart w:id="27" w:name="_Toc267059010"/>
      <w:bookmarkStart w:id="28" w:name="_Toc207014580"/>
      <w:bookmarkStart w:id="29" w:name="_Toc267060022"/>
      <w:bookmarkStart w:id="30" w:name="_Toc223146565"/>
      <w:bookmarkStart w:id="31" w:name="_Toc160880487"/>
      <w:bookmarkStart w:id="32" w:name="_Toc266868924"/>
      <w:bookmarkStart w:id="33" w:name="_Toc266870386"/>
      <w:bookmarkStart w:id="34" w:name="_Toc169332904"/>
      <w:bookmarkStart w:id="35" w:name="_Toc225669277"/>
      <w:bookmarkStart w:id="36" w:name="_Toc249325665"/>
      <w:bookmarkStart w:id="37" w:name="_Toc251586187"/>
      <w:bookmarkStart w:id="38" w:name="_Toc235438297"/>
      <w:bookmarkStart w:id="39" w:name="_Toc267060162"/>
      <w:bookmarkStart w:id="40" w:name="_Toc273178686"/>
      <w:bookmarkStart w:id="41" w:name="_Toc169332794"/>
      <w:bookmarkStart w:id="42" w:name="_Toc259692693"/>
      <w:bookmarkStart w:id="43" w:name="_Toc259520819"/>
      <w:bookmarkStart w:id="44" w:name="_Toc251613780"/>
      <w:bookmarkStart w:id="45" w:name="_Toc227058483"/>
      <w:bookmarkStart w:id="46" w:name="_Toc259692600"/>
      <w:bookmarkStart w:id="47" w:name="_Toc267059519"/>
      <w:bookmarkStart w:id="48" w:name="_Toc212530253"/>
      <w:r>
        <w:rPr>
          <w:rFonts w:hint="eastAsia" w:ascii="仿宋" w:hAnsi="仿宋" w:eastAsia="仿宋"/>
          <w:b/>
          <w:sz w:val="36"/>
          <w:szCs w:val="36"/>
          <w:lang w:val="en-US" w:eastAsia="zh-CN"/>
        </w:rPr>
        <w:t>管理会计实践教学平台采购项目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B-XJ2021-21</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b w:val="0"/>
          <w:bCs w:val="0"/>
          <w:color w:val="000000" w:themeColor="text1"/>
          <w:sz w:val="28"/>
          <w:szCs w:val="28"/>
          <w:highlight w:val="none"/>
          <w:lang w:val="en-US" w:eastAsia="zh-CN"/>
          <w14:textFill>
            <w14:solidFill>
              <w14:schemeClr w14:val="tx1"/>
            </w14:solidFill>
          </w14:textFill>
        </w:rPr>
        <w:t>管理会计实践教学平台采购项目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pStyle w:val="53"/>
        <w:numPr>
          <w:ilvl w:val="0"/>
          <w:numId w:val="2"/>
        </w:numPr>
        <w:spacing w:after="0" w:line="5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参与人应具有独立法人资格的生产厂商或授权经销商。</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参与人应具有合法有效的营业执照，经营范围应包括</w:t>
      </w:r>
      <w:r>
        <w:rPr>
          <w:rFonts w:hint="eastAsia" w:ascii="仿宋" w:hAnsi="仿宋" w:eastAsia="仿宋"/>
          <w:color w:val="auto"/>
          <w:sz w:val="28"/>
          <w:szCs w:val="28"/>
          <w:highlight w:val="none"/>
          <w:lang w:val="en-US" w:eastAsia="zh-CN"/>
        </w:rPr>
        <w:t>设备安装</w:t>
      </w:r>
      <w:r>
        <w:rPr>
          <w:rFonts w:hint="eastAsia" w:ascii="仿宋" w:hAnsi="仿宋" w:eastAsia="仿宋"/>
          <w:color w:val="auto"/>
          <w:sz w:val="28"/>
          <w:szCs w:val="28"/>
          <w:highlight w:val="none"/>
        </w:rPr>
        <w:t>资质</w:t>
      </w:r>
    </w:p>
    <w:p>
      <w:pPr>
        <w:spacing w:after="0" w:line="500" w:lineRule="exact"/>
        <w:ind w:left="1410" w:leftChars="322" w:hanging="702" w:hangingChars="251"/>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）参与人应具</w:t>
      </w:r>
      <w:r>
        <w:rPr>
          <w:rFonts w:ascii="仿宋" w:hAnsi="仿宋" w:eastAsia="仿宋"/>
          <w:color w:val="auto"/>
          <w:sz w:val="28"/>
          <w:szCs w:val="28"/>
          <w:highlight w:val="none"/>
        </w:rPr>
        <w:t>有提</w:t>
      </w:r>
      <w:r>
        <w:rPr>
          <w:rFonts w:hint="eastAsia" w:ascii="仿宋" w:hAnsi="仿宋" w:eastAsia="仿宋"/>
          <w:color w:val="auto"/>
          <w:sz w:val="28"/>
          <w:szCs w:val="28"/>
          <w:highlight w:val="none"/>
        </w:rPr>
        <w:t>供</w:t>
      </w:r>
      <w:r>
        <w:rPr>
          <w:rFonts w:hint="eastAsia" w:ascii="仿宋" w:hAnsi="仿宋" w:eastAsia="仿宋"/>
          <w:color w:val="auto"/>
          <w:sz w:val="28"/>
          <w:szCs w:val="28"/>
          <w:highlight w:val="none"/>
          <w:lang w:val="en-US" w:eastAsia="zh-CN"/>
        </w:rPr>
        <w:t>管理会计实践教学平台设备</w:t>
      </w:r>
      <w:r>
        <w:rPr>
          <w:rFonts w:ascii="仿宋" w:hAnsi="仿宋" w:eastAsia="仿宋"/>
          <w:color w:val="auto"/>
          <w:sz w:val="28"/>
          <w:szCs w:val="28"/>
          <w:highlight w:val="none"/>
        </w:rPr>
        <w:t>和服务的资格</w:t>
      </w:r>
      <w:r>
        <w:rPr>
          <w:rFonts w:hint="eastAsia" w:ascii="仿宋" w:hAnsi="仿宋" w:eastAsia="仿宋"/>
          <w:color w:val="auto"/>
          <w:sz w:val="28"/>
          <w:szCs w:val="28"/>
          <w:highlight w:val="none"/>
        </w:rPr>
        <w:t>及</w:t>
      </w:r>
      <w:r>
        <w:rPr>
          <w:rFonts w:ascii="仿宋" w:hAnsi="仿宋" w:eastAsia="仿宋"/>
          <w:color w:val="auto"/>
          <w:sz w:val="28"/>
          <w:szCs w:val="28"/>
          <w:highlight w:val="none"/>
        </w:rPr>
        <w:t>能力</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广州</w:t>
      </w:r>
      <w:r>
        <w:rPr>
          <w:rFonts w:hint="eastAsia" w:ascii="仿宋" w:hAnsi="仿宋" w:eastAsia="仿宋"/>
          <w:color w:val="auto"/>
          <w:sz w:val="28"/>
          <w:szCs w:val="28"/>
          <w:highlight w:val="none"/>
        </w:rPr>
        <w:t>市范围有固定售后服务机构，具备相应的维护保养能力。</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w:t>
      </w:r>
      <w:r>
        <w:rPr>
          <w:rFonts w:hint="eastAsia" w:ascii="仿宋" w:hAnsi="仿宋" w:eastAsia="仿宋"/>
          <w:sz w:val="28"/>
          <w:szCs w:val="28"/>
          <w:lang w:eastAsia="zh-CN"/>
        </w:rPr>
        <w:t>（</w:t>
      </w:r>
      <w:r>
        <w:rPr>
          <w:rFonts w:hint="eastAsia" w:ascii="仿宋" w:hAnsi="仿宋" w:eastAsia="仿宋"/>
          <w:sz w:val="28"/>
          <w:szCs w:val="28"/>
          <w:lang w:val="en-US" w:eastAsia="zh-CN"/>
        </w:rPr>
        <w:t>现场递交</w:t>
      </w:r>
      <w:r>
        <w:rPr>
          <w:rFonts w:hint="eastAsia" w:ascii="仿宋" w:hAnsi="仿宋" w:eastAsia="仿宋"/>
          <w:sz w:val="28"/>
          <w:szCs w:val="28"/>
          <w:lang w:eastAsia="zh-CN"/>
        </w:rPr>
        <w:t>）</w:t>
      </w:r>
      <w:r>
        <w:rPr>
          <w:rFonts w:hint="eastAsia" w:ascii="仿宋" w:hAnsi="仿宋" w:eastAsia="仿宋"/>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12</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27</w:t>
      </w:r>
      <w:r>
        <w:rPr>
          <w:rFonts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上午11:00</w:t>
      </w:r>
      <w:r>
        <w:rPr>
          <w:rFonts w:hint="eastAsia" w:ascii="仿宋" w:hAnsi="仿宋" w:eastAsia="仿宋"/>
          <w:sz w:val="28"/>
          <w:szCs w:val="28"/>
          <w:shd w:val="clear" w:color="auto" w:fill="FFFFFF"/>
        </w:rPr>
        <w:t>前。</w:t>
      </w:r>
    </w:p>
    <w:p>
      <w:pPr>
        <w:spacing w:after="0" w:line="500" w:lineRule="exact"/>
        <w:ind w:firstLine="420" w:firstLineChars="150"/>
        <w:rPr>
          <w:rFonts w:hint="default" w:ascii="仿宋" w:hAnsi="仿宋" w:eastAsia="仿宋"/>
          <w:sz w:val="28"/>
          <w:szCs w:val="28"/>
          <w:lang w:val="en-US" w:eastAsia="zh-CN"/>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sz w:val="28"/>
          <w:szCs w:val="28"/>
          <w:lang w:eastAsia="zh-CN"/>
        </w:rPr>
        <w:t>：</w:t>
      </w:r>
      <w:r>
        <w:rPr>
          <w:rFonts w:hint="eastAsia" w:ascii="仿宋" w:hAnsi="仿宋" w:eastAsia="仿宋" w:cs="仿宋"/>
          <w:color w:val="auto"/>
          <w:sz w:val="28"/>
          <w:szCs w:val="28"/>
        </w:rPr>
        <w:t>广州市增城区朱村街朱村大道东432号</w:t>
      </w:r>
      <w:r>
        <w:rPr>
          <w:rFonts w:hint="eastAsia" w:ascii="仿宋" w:hAnsi="仿宋" w:eastAsia="仿宋" w:cs="仿宋"/>
          <w:color w:val="auto"/>
          <w:sz w:val="28"/>
          <w:szCs w:val="28"/>
          <w:lang w:eastAsia="zh-CN"/>
        </w:rPr>
        <w:t>广州松田职业学院</w:t>
      </w:r>
      <w:r>
        <w:rPr>
          <w:rFonts w:hint="eastAsia" w:ascii="仿宋" w:hAnsi="仿宋" w:eastAsia="仿宋" w:cs="仿宋"/>
          <w:color w:val="auto"/>
          <w:sz w:val="28"/>
          <w:szCs w:val="28"/>
        </w:rPr>
        <w:t>资产与采购处</w:t>
      </w:r>
      <w:r>
        <w:rPr>
          <w:rFonts w:hint="eastAsia" w:ascii="仿宋" w:hAnsi="仿宋" w:eastAsia="仿宋" w:cs="仿宋"/>
          <w:color w:val="auto"/>
          <w:sz w:val="28"/>
          <w:szCs w:val="28"/>
          <w:lang w:val="en-US" w:eastAsia="zh-CN"/>
        </w:rPr>
        <w:t>办公室。</w:t>
      </w:r>
    </w:p>
    <w:p>
      <w:pPr>
        <w:spacing w:after="0" w:line="500" w:lineRule="exact"/>
        <w:ind w:left="839"/>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吴谷芬</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lang w:val="en-US" w:eastAsia="zh-CN"/>
        </w:rPr>
        <w:t>18122166662。</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w:t>
      </w:r>
      <w:r>
        <w:rPr>
          <w:rFonts w:hint="eastAsia" w:ascii="仿宋" w:hAnsi="仿宋" w:eastAsia="仿宋"/>
          <w:sz w:val="28"/>
          <w:szCs w:val="28"/>
          <w:lang w:eastAsia="zh-CN"/>
        </w:rPr>
        <w:t>（</w:t>
      </w:r>
      <w:r>
        <w:rPr>
          <w:rFonts w:hint="eastAsia" w:ascii="仿宋" w:hAnsi="仿宋" w:eastAsia="仿宋"/>
          <w:b/>
          <w:bCs/>
          <w:sz w:val="28"/>
          <w:szCs w:val="28"/>
          <w:lang w:val="en-US" w:eastAsia="zh-CN"/>
        </w:rPr>
        <w:t>一正两副</w:t>
      </w:r>
      <w:r>
        <w:rPr>
          <w:rFonts w:hint="eastAsia" w:ascii="仿宋" w:hAnsi="仿宋" w:eastAsia="仿宋"/>
          <w:sz w:val="28"/>
          <w:szCs w:val="28"/>
          <w:lang w:eastAsia="zh-CN"/>
        </w:rPr>
        <w:t>）</w:t>
      </w:r>
      <w:r>
        <w:rPr>
          <w:rFonts w:hint="eastAsia" w:ascii="仿宋" w:hAnsi="仿宋" w:eastAsia="仿宋"/>
          <w:sz w:val="28"/>
          <w:szCs w:val="28"/>
        </w:rPr>
        <w:t>。本项目不接受联合体报价</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0"/>
        <w:numPr>
          <w:ilvl w:val="0"/>
          <w:numId w:val="4"/>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0"/>
        <w:numPr>
          <w:ilvl w:val="0"/>
          <w:numId w:val="0"/>
        </w:numPr>
        <w:spacing w:line="360" w:lineRule="auto"/>
        <w:jc w:val="right"/>
        <w:outlineLvl w:val="0"/>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402" w:type="dxa"/>
        <w:tblInd w:w="0" w:type="dxa"/>
        <w:tblLayout w:type="fixed"/>
        <w:tblCellMar>
          <w:top w:w="0" w:type="dxa"/>
          <w:left w:w="108" w:type="dxa"/>
          <w:bottom w:w="0" w:type="dxa"/>
          <w:right w:w="108" w:type="dxa"/>
        </w:tblCellMar>
      </w:tblPr>
      <w:tblGrid>
        <w:gridCol w:w="643"/>
        <w:gridCol w:w="1423"/>
        <w:gridCol w:w="3255"/>
        <w:gridCol w:w="765"/>
        <w:gridCol w:w="660"/>
        <w:gridCol w:w="725"/>
        <w:gridCol w:w="837"/>
        <w:gridCol w:w="1094"/>
      </w:tblGrid>
      <w:tr>
        <w:tblPrEx>
          <w:tblCellMar>
            <w:top w:w="0" w:type="dxa"/>
            <w:left w:w="108" w:type="dxa"/>
            <w:bottom w:w="0" w:type="dxa"/>
            <w:right w:w="108" w:type="dxa"/>
          </w:tblCellMar>
        </w:tblPrEx>
        <w:trPr>
          <w:trHeight w:val="523"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1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设备名称</w:t>
            </w: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规格型号（技术参数）</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单位</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数量</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单价</w:t>
            </w:r>
          </w:p>
        </w:tc>
        <w:tc>
          <w:tcPr>
            <w:tcW w:w="8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备注</w:t>
            </w:r>
          </w:p>
        </w:tc>
      </w:tr>
      <w:tr>
        <w:tblPrEx>
          <w:tblCellMar>
            <w:top w:w="0" w:type="dxa"/>
            <w:left w:w="108" w:type="dxa"/>
            <w:bottom w:w="0" w:type="dxa"/>
            <w:right w:w="108" w:type="dxa"/>
          </w:tblCellMar>
        </w:tblPrEx>
        <w:trPr>
          <w:trHeight w:val="4107" w:hRule="atLeast"/>
        </w:trPr>
        <w:tc>
          <w:tcPr>
            <w:tcW w:w="643" w:type="dxa"/>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423" w:type="dxa"/>
            <w:tcBorders>
              <w:top w:val="nil"/>
              <w:left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管理会计实践教学平台</w:t>
            </w:r>
          </w:p>
        </w:tc>
        <w:tc>
          <w:tcPr>
            <w:tcW w:w="3255" w:type="dxa"/>
            <w:tcBorders>
              <w:top w:val="nil"/>
              <w:left w:val="nil"/>
              <w:right w:val="single" w:color="auto" w:sz="4" w:space="0"/>
            </w:tcBorders>
            <w:shd w:val="clear" w:color="000000" w:fill="FFFFFF"/>
            <w:vAlign w:val="center"/>
          </w:tcPr>
          <w:p>
            <w:pPr>
              <w:keepNext w:val="0"/>
              <w:keepLines w:val="0"/>
              <w:pageBreakBefore w:val="0"/>
              <w:widowControl/>
              <w:numPr>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（1）主要功能：基于仿真职业情境和操作软件，具有角色转换、业务处理、实务操作、教学管理功能。</w:t>
            </w:r>
          </w:p>
          <w:p>
            <w:pPr>
              <w:keepNext w:val="0"/>
              <w:keepLines w:val="0"/>
              <w:pageBreakBefore w:val="0"/>
              <w:widowControl/>
              <w:numPr>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（2）技术要求：</w:t>
            </w:r>
          </w:p>
          <w:p>
            <w:pPr>
              <w:keepNext w:val="0"/>
              <w:keepLines w:val="0"/>
              <w:pageBreakBefore w:val="0"/>
              <w:widowControl/>
              <w:numPr>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①满足基于会计信息系统的资金管理岗位、成本管理岗位、营运管理岗位、绩效管理岗位等管理会计岗位职业技能实训；</w:t>
            </w:r>
          </w:p>
          <w:p>
            <w:pPr>
              <w:keepNext w:val="0"/>
              <w:keepLines w:val="0"/>
              <w:pageBreakBefore w:val="0"/>
              <w:widowControl/>
              <w:numPr>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②平台内置企业真实应用系统或财务软件；</w:t>
            </w:r>
          </w:p>
          <w:p>
            <w:pPr>
              <w:keepNext w:val="0"/>
              <w:keepLines w:val="0"/>
              <w:pageBreakBefore w:val="0"/>
              <w:widowControl/>
              <w:numPr>
                <w:numId w:val="0"/>
              </w:numPr>
              <w:suppressLineNumbers w:val="0"/>
              <w:kinsoku/>
              <w:wordWrap/>
              <w:overflowPunct/>
              <w:topLinePunct w:val="0"/>
              <w:autoSpaceDE/>
              <w:autoSpaceDN/>
              <w:bidi w:val="0"/>
              <w:adjustRightInd/>
              <w:snapToGrid w:val="0"/>
              <w:spacing w:after="0" w:line="240" w:lineRule="auto"/>
              <w:jc w:val="left"/>
              <w:textAlignment w:val="center"/>
              <w:rPr>
                <w:rFonts w:hint="default" w:ascii="宋体" w:hAnsi="宋体" w:cs="宋体"/>
                <w:szCs w:val="21"/>
                <w:lang w:val="en-US" w:eastAsia="zh-CN"/>
              </w:rPr>
            </w:pPr>
            <w:r>
              <w:rPr>
                <w:rFonts w:hint="eastAsia" w:ascii="仿宋" w:hAnsi="仿宋" w:eastAsia="仿宋" w:cs="仿宋"/>
                <w:szCs w:val="21"/>
                <w:lang w:val="en-US" w:eastAsia="zh-CN"/>
              </w:rPr>
              <w:t>③满足 X 职业技能证训练。</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套</w:t>
            </w:r>
          </w:p>
        </w:tc>
        <w:tc>
          <w:tcPr>
            <w:tcW w:w="660" w:type="dxa"/>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p>
        </w:tc>
        <w:tc>
          <w:tcPr>
            <w:tcW w:w="725"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67" w:hRule="atLeast"/>
        </w:trPr>
        <w:tc>
          <w:tcPr>
            <w:tcW w:w="940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合计（含税）</w:t>
            </w: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w:t>
      </w:r>
      <w:r>
        <w:rPr>
          <w:rFonts w:hint="eastAsia" w:ascii="仿宋" w:hAnsi="仿宋" w:eastAsia="仿宋" w:cs="仿宋"/>
          <w:bCs/>
          <w:sz w:val="24"/>
          <w:szCs w:val="24"/>
          <w:lang w:val="en-US" w:eastAsia="zh-CN"/>
        </w:rPr>
        <w:t>3</w:t>
      </w:r>
      <w:r>
        <w:rPr>
          <w:rFonts w:hint="eastAsia" w:ascii="仿宋" w:hAnsi="仿宋" w:eastAsia="仿宋" w:cs="仿宋"/>
          <w:bCs/>
          <w:sz w:val="24"/>
          <w:szCs w:val="24"/>
        </w:rPr>
        <w:t>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sectPr>
          <w:headerReference r:id="rId9" w:type="first"/>
          <w:headerReference r:id="rId8" w:type="default"/>
          <w:pgSz w:w="11906" w:h="16838"/>
          <w:pgMar w:top="1440" w:right="1416" w:bottom="1440" w:left="1134" w:header="851" w:footer="227" w:gutter="0"/>
          <w:cols w:space="425" w:num="1"/>
          <w:titlePg/>
          <w:docGrid w:type="lines" w:linePitch="312" w:charSpace="0"/>
        </w:sect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管理会计实践教学平台采购</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3" w:name="_Toc192996338"/>
      <w:bookmarkStart w:id="54" w:name="_Toc213756051"/>
      <w:bookmarkStart w:id="55" w:name="_Toc211917116"/>
      <w:bookmarkStart w:id="56" w:name="_Toc181436461"/>
      <w:bookmarkStart w:id="57" w:name="_Toc266870432"/>
      <w:bookmarkStart w:id="58" w:name="_Toc266868670"/>
      <w:bookmarkStart w:id="59" w:name="_Toc225669322"/>
      <w:bookmarkStart w:id="60" w:name="_Toc192663686"/>
      <w:bookmarkStart w:id="61" w:name="_Toc235438274"/>
      <w:bookmarkStart w:id="62" w:name="_Toc249325711"/>
      <w:bookmarkStart w:id="63" w:name="_Toc267060068"/>
      <w:bookmarkStart w:id="64" w:name="_Toc213208766"/>
      <w:bookmarkStart w:id="65" w:name="_Toc182805217"/>
      <w:bookmarkStart w:id="66" w:name="_Toc235438344"/>
      <w:bookmarkStart w:id="67" w:name="_Toc267059539"/>
      <w:bookmarkStart w:id="68" w:name="_Toc253066614"/>
      <w:bookmarkStart w:id="69" w:name="_Toc267059806"/>
      <w:bookmarkStart w:id="70" w:name="_Toc255975007"/>
      <w:bookmarkStart w:id="71" w:name="_Toc192664153"/>
      <w:bookmarkStart w:id="72" w:name="_Toc182372782"/>
      <w:bookmarkStart w:id="73" w:name="_Toc267059030"/>
      <w:bookmarkStart w:id="74" w:name="_Toc259692740"/>
      <w:bookmarkStart w:id="75" w:name="_Toc267059919"/>
      <w:bookmarkStart w:id="76" w:name="_Toc203355733"/>
      <w:bookmarkStart w:id="77" w:name="_Toc232302115"/>
      <w:bookmarkStart w:id="78" w:name="_Toc267059653"/>
      <w:bookmarkStart w:id="79" w:name="_Toc254790899"/>
      <w:bookmarkStart w:id="80" w:name="_Toc267059181"/>
      <w:bookmarkStart w:id="81" w:name="_Toc191789329"/>
      <w:bookmarkStart w:id="82" w:name="_Toc193160448"/>
      <w:bookmarkStart w:id="83" w:name="_Toc213755939"/>
      <w:bookmarkStart w:id="84" w:name="_Toc193165734"/>
      <w:bookmarkStart w:id="85" w:name="_Toc267060208"/>
      <w:bookmarkStart w:id="86" w:name="_Toc191803626"/>
      <w:bookmarkStart w:id="87" w:name="_Toc259520865"/>
      <w:bookmarkStart w:id="88" w:name="_Toc267060321"/>
      <w:bookmarkStart w:id="89" w:name="_Toc273178698"/>
      <w:bookmarkStart w:id="90" w:name="_Toc266868937"/>
      <w:bookmarkStart w:id="91" w:name="_Toc267060453"/>
      <w:bookmarkStart w:id="92" w:name="_Toc235437991"/>
      <w:bookmarkStart w:id="93" w:name="_Toc258401256"/>
      <w:bookmarkStart w:id="94" w:name="_Toc251586231"/>
      <w:bookmarkStart w:id="95" w:name="_Toc266870833"/>
      <w:bookmarkStart w:id="96" w:name="_Toc266870907"/>
      <w:bookmarkStart w:id="97" w:name="_Toc213755995"/>
      <w:bookmarkStart w:id="98" w:name="_Toc191783222"/>
      <w:bookmarkStart w:id="99" w:name="_Toc170798793"/>
      <w:bookmarkStart w:id="100" w:name="_Toc223146608"/>
      <w:bookmarkStart w:id="101" w:name="_Toc191802690"/>
      <w:bookmarkStart w:id="102" w:name="_Toc219800243"/>
      <w:bookmarkStart w:id="103" w:name="_Toc160880529"/>
      <w:bookmarkStart w:id="104" w:name="_Toc236021449"/>
      <w:bookmarkStart w:id="105" w:name="_Toc181436565"/>
      <w:bookmarkStart w:id="106" w:name="_Toc177985469"/>
      <w:bookmarkStart w:id="107" w:name="_Toc227058530"/>
      <w:bookmarkStart w:id="108" w:name="_Toc180302913"/>
      <w:bookmarkStart w:id="109" w:name="_Toc192996446"/>
      <w:bookmarkStart w:id="110" w:name="_Toc213755858"/>
      <w:bookmarkStart w:id="111" w:name="_Toc217891402"/>
      <w:bookmarkStart w:id="112" w:name="_Toc169332949"/>
      <w:bookmarkStart w:id="113" w:name="_Toc251613829"/>
      <w:bookmarkStart w:id="114" w:name="_Toc230071147"/>
      <w:bookmarkStart w:id="115" w:name="_Toc259692647"/>
      <w:bookmarkStart w:id="116" w:name="_Toc192663835"/>
      <w:bookmarkStart w:id="117" w:name="_Toc169332838"/>
      <w:bookmarkStart w:id="118" w:name="_Toc160880160"/>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根据贵学校为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（全名、职务）正式授权并代表我方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3"/>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80302918"/>
      <w:bookmarkStart w:id="120" w:name="_Toc191802695"/>
      <w:bookmarkStart w:id="121" w:name="_Toc177985474"/>
      <w:bookmarkStart w:id="122" w:name="_Toc266868943"/>
      <w:bookmarkStart w:id="123" w:name="_Toc182372787"/>
      <w:bookmarkStart w:id="124" w:name="_Toc267060216"/>
      <w:bookmarkStart w:id="125" w:name="_Toc169332954"/>
      <w:bookmarkStart w:id="126" w:name="_Toc192663840"/>
      <w:bookmarkStart w:id="127" w:name="_Toc191803631"/>
      <w:bookmarkStart w:id="128" w:name="_Toc160880534"/>
      <w:bookmarkStart w:id="129" w:name="_Toc258401265"/>
      <w:bookmarkStart w:id="130" w:name="_Toc182805222"/>
      <w:bookmarkStart w:id="131" w:name="_Toc169332843"/>
      <w:bookmarkStart w:id="132" w:name="_Toc191789334"/>
      <w:bookmarkStart w:id="133" w:name="_Toc235437998"/>
      <w:bookmarkStart w:id="134" w:name="_Toc211917121"/>
      <w:bookmarkStart w:id="135" w:name="_Toc191783227"/>
      <w:bookmarkStart w:id="136" w:name="_Toc193160453"/>
      <w:bookmarkStart w:id="137" w:name="_Toc255975016"/>
      <w:bookmarkStart w:id="138" w:name="_Toc254790909"/>
      <w:bookmarkStart w:id="139" w:name="_Toc160880165"/>
      <w:bookmarkStart w:id="140" w:name="_Toc181436466"/>
      <w:bookmarkStart w:id="141" w:name="_Toc192663691"/>
      <w:bookmarkStart w:id="142" w:name="_Toc236021457"/>
      <w:bookmarkStart w:id="143" w:name="_Toc251586241"/>
      <w:bookmarkStart w:id="144" w:name="_Toc259520874"/>
      <w:bookmarkStart w:id="145" w:name="_Toc267060326"/>
      <w:bookmarkStart w:id="146" w:name="_Toc267059811"/>
      <w:bookmarkStart w:id="147" w:name="_Toc273178703"/>
      <w:bookmarkStart w:id="148" w:name="_Toc219800249"/>
      <w:bookmarkStart w:id="149" w:name="_Toc251613839"/>
      <w:bookmarkStart w:id="150" w:name="_Toc235438281"/>
      <w:bookmarkStart w:id="151" w:name="_Toc267059186"/>
      <w:bookmarkStart w:id="152" w:name="_Toc249325720"/>
      <w:bookmarkStart w:id="153" w:name="_Toc217891408"/>
      <w:bookmarkStart w:id="154" w:name="_Toc181436570"/>
      <w:bookmarkStart w:id="155" w:name="_Toc230071153"/>
      <w:bookmarkStart w:id="156" w:name="_Toc213755864"/>
      <w:bookmarkStart w:id="157" w:name="_Toc213208771"/>
      <w:bookmarkStart w:id="158" w:name="_Toc225669328"/>
      <w:bookmarkStart w:id="159" w:name="_Toc232302122"/>
      <w:bookmarkStart w:id="160" w:name="_Toc227058536"/>
      <w:bookmarkStart w:id="161" w:name="_Toc213755945"/>
      <w:bookmarkStart w:id="162" w:name="_Toc266870916"/>
      <w:bookmarkStart w:id="163" w:name="_Toc170798798"/>
      <w:bookmarkStart w:id="164" w:name="_Toc203355738"/>
      <w:bookmarkStart w:id="165" w:name="_Toc253066624"/>
      <w:bookmarkStart w:id="166" w:name="_Toc223146614"/>
      <w:bookmarkStart w:id="167" w:name="_Toc192664158"/>
      <w:bookmarkStart w:id="168" w:name="_Toc213756057"/>
      <w:bookmarkStart w:id="169" w:name="_Toc193165739"/>
      <w:bookmarkStart w:id="170" w:name="_Toc267060461"/>
      <w:bookmarkStart w:id="171" w:name="_Toc259692749"/>
      <w:bookmarkStart w:id="172" w:name="_Toc192996343"/>
      <w:bookmarkStart w:id="173" w:name="_Toc235438352"/>
      <w:bookmarkStart w:id="174" w:name="_Toc266868679"/>
      <w:bookmarkStart w:id="175" w:name="_Toc266870441"/>
      <w:bookmarkStart w:id="176" w:name="_Toc259692656"/>
      <w:bookmarkStart w:id="177" w:name="_Toc267060076"/>
      <w:bookmarkStart w:id="178" w:name="_Toc267059544"/>
      <w:bookmarkStart w:id="179" w:name="_Toc267059924"/>
      <w:bookmarkStart w:id="180" w:name="_Toc213756001"/>
      <w:bookmarkStart w:id="181" w:name="_Toc192996451"/>
      <w:bookmarkStart w:id="182" w:name="_Toc267059658"/>
      <w:bookmarkStart w:id="183" w:name="_Toc267059035"/>
      <w:bookmarkStart w:id="184" w:name="_Toc266870839"/>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3"/>
        <w:numPr>
          <w:ilvl w:val="0"/>
          <w:numId w:val="5"/>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p>
    <w:p>
      <w:pPr>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380" w:lineRule="exact"/>
        <w:rPr>
          <w:rFonts w:ascii="仿宋" w:hAnsi="仿宋" w:eastAsia="仿宋"/>
          <w:sz w:val="28"/>
          <w:szCs w:val="28"/>
        </w:rPr>
      </w:pPr>
    </w:p>
    <w:sectPr>
      <w:headerReference r:id="rId13" w:type="first"/>
      <w:headerReference r:id="rId12" w:type="defaul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val="0"/>
        <w:bCs w:val="0"/>
      </w:rPr>
    </w:pPr>
    <w:r>
      <w:rPr>
        <w:rFonts w:hint="eastAsia" w:ascii="仿宋" w:hAnsi="仿宋" w:eastAsia="仿宋" w:cs="仿宋"/>
        <w:b w:val="0"/>
        <w:bCs w:val="0"/>
        <w:sz w:val="21"/>
        <w:szCs w:val="21"/>
        <w:lang w:val="en-US" w:eastAsia="zh-CN"/>
      </w:rPr>
      <w:t>广州松田职业学院增城校区E13-E15（12间）实训室强，弱电工程项目</w:t>
    </w:r>
    <w:r>
      <w:rPr>
        <w:rFonts w:hint="eastAsia" w:ascii="仿宋" w:hAnsi="仿宋" w:eastAsia="仿宋" w:cs="仿宋"/>
        <w:sz w:val="21"/>
        <w:szCs w:val="21"/>
        <w:lang w:val="en-US" w:eastAsia="zh-CN"/>
      </w:rPr>
      <w:t>B-XJ2021-11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195070" cy="347345"/>
          <wp:effectExtent l="0" t="0" r="5080" b="14605"/>
          <wp:docPr id="1" name="图片 1"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ascii="仿宋" w:hAnsi="仿宋" w:eastAsia="仿宋" w:cs="仿宋"/>
        <w:sz w:val="21"/>
        <w:szCs w:val="21"/>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C1BF3"/>
    <w:multiLevelType w:val="singleLevel"/>
    <w:tmpl w:val="F69C1BF3"/>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D8853A2"/>
    <w:rsid w:val="28931B52"/>
    <w:rsid w:val="2B226E34"/>
    <w:rsid w:val="318B3A51"/>
    <w:rsid w:val="3EF74521"/>
    <w:rsid w:val="3F592C02"/>
    <w:rsid w:val="3FB4758E"/>
    <w:rsid w:val="50E819B9"/>
    <w:rsid w:val="578B128C"/>
    <w:rsid w:val="7C2B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qFormat/>
    <w:uiPriority w:val="0"/>
    <w:rPr>
      <w:rFonts w:ascii="宋体" w:hAnsi="宋体" w:eastAsia="宋体" w:cs="宋体"/>
      <w:color w:val="000000"/>
      <w:sz w:val="20"/>
      <w:szCs w:val="20"/>
      <w:u w:val="none"/>
    </w:rPr>
  </w:style>
  <w:style w:type="character" w:customStyle="1" w:styleId="60">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2.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316</Words>
  <Characters>1805</Characters>
  <Lines>15</Lines>
  <Paragraphs>4</Paragraphs>
  <TotalTime>5</TotalTime>
  <ScaleCrop>false</ScaleCrop>
  <LinksUpToDate>false</LinksUpToDate>
  <CharactersWithSpaces>2117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2021-12-20T02:32:59Z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717ACD3D9E1B4DCB8CC07B9B646D1B51</vt:lpwstr>
  </property>
</Properties>
</file>