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jc w:val="center"/>
        <w:outlineLvl w:val="0"/>
        <w:rPr>
          <w:rFonts w:ascii="仿宋" w:hAnsi="仿宋" w:eastAsia="仿宋"/>
          <w:b/>
          <w:color w:val="auto"/>
          <w:sz w:val="44"/>
          <w:szCs w:val="44"/>
        </w:rPr>
      </w:pPr>
      <w:bookmarkStart w:id="0" w:name="_Toc259520819"/>
      <w:bookmarkStart w:id="1" w:name="_Toc267060022"/>
      <w:bookmarkStart w:id="2" w:name="_Toc219800200"/>
      <w:bookmarkStart w:id="3" w:name="_Toc254790852"/>
      <w:bookmarkStart w:id="4" w:name="_Toc267059786"/>
      <w:bookmarkStart w:id="5" w:name="_Toc212530253"/>
      <w:bookmarkStart w:id="6" w:name="_Toc212526081"/>
      <w:bookmarkStart w:id="7" w:name="_Toc225669277"/>
      <w:bookmarkStart w:id="8" w:name="_Toc207014580"/>
      <w:bookmarkStart w:id="9" w:name="_Toc235437942"/>
      <w:bookmarkStart w:id="10" w:name="_Toc227058483"/>
      <w:bookmarkStart w:id="11" w:name="_Toc251586187"/>
      <w:bookmarkStart w:id="12" w:name="_Toc169332904"/>
      <w:bookmarkStart w:id="13" w:name="_Toc266868924"/>
      <w:bookmarkStart w:id="14" w:name="_Toc266870386"/>
      <w:bookmarkStart w:id="15" w:name="_Toc211937196"/>
      <w:bookmarkStart w:id="16" w:name="_Toc235438227"/>
      <w:bookmarkStart w:id="17" w:name="_Toc267060162"/>
      <w:bookmarkStart w:id="18" w:name="_Toc251613780"/>
      <w:bookmarkStart w:id="19" w:name="_Toc273178686"/>
      <w:bookmarkStart w:id="20" w:name="_Toc266868624"/>
      <w:bookmarkStart w:id="21" w:name="_Toc258401210"/>
      <w:bookmarkStart w:id="22" w:name="_Toc267059899"/>
      <w:bookmarkStart w:id="23" w:name="_Toc169332794"/>
      <w:bookmarkStart w:id="24" w:name="_Toc267059161"/>
      <w:bookmarkStart w:id="25" w:name="_Toc266870861"/>
      <w:bookmarkStart w:id="26" w:name="_Toc267059633"/>
      <w:bookmarkStart w:id="27" w:name="_Toc223146565"/>
      <w:bookmarkStart w:id="28" w:name="_Toc259692693"/>
      <w:bookmarkStart w:id="29" w:name="_Toc235438297"/>
      <w:bookmarkStart w:id="30" w:name="_Toc217891359"/>
      <w:bookmarkStart w:id="31" w:name="_Toc177985424"/>
      <w:bookmarkStart w:id="32" w:name="_Toc267059519"/>
      <w:bookmarkStart w:id="33" w:name="_Toc236021402"/>
      <w:bookmarkStart w:id="34" w:name="_Toc259692600"/>
      <w:bookmarkStart w:id="35" w:name="_Toc212456146"/>
      <w:bookmarkStart w:id="36" w:name="_Toc216241307"/>
      <w:bookmarkStart w:id="37" w:name="_Toc267059010"/>
      <w:bookmarkStart w:id="38" w:name="_Toc253066567"/>
      <w:bookmarkStart w:id="39" w:name="_Toc249325665"/>
      <w:bookmarkStart w:id="40" w:name="_Toc212454753"/>
      <w:bookmarkStart w:id="41" w:name="_Toc255974963"/>
      <w:bookmarkStart w:id="42" w:name="_Toc160880487"/>
      <w:bookmarkStart w:id="43" w:name="_Toc170798743"/>
      <w:bookmarkStart w:id="44" w:name="_Toc267060407"/>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364" w:firstLineChars="152"/>
        <w:jc w:val="left"/>
        <w:rPr>
          <w:rFonts w:hint="eastAsia" w:ascii="仿宋" w:hAnsi="仿宋" w:eastAsia="仿宋"/>
          <w:color w:val="000000"/>
          <w:sz w:val="24"/>
          <w:szCs w:val="24"/>
        </w:rPr>
      </w:pPr>
      <w:bookmarkStart w:id="45" w:name="_Hlk10840310"/>
      <w:r>
        <w:rPr>
          <w:rFonts w:hint="eastAsia" w:ascii="仿宋" w:hAnsi="仿宋" w:eastAsia="仿宋"/>
          <w:color w:val="000000"/>
          <w:sz w:val="24"/>
          <w:szCs w:val="24"/>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12月经教育部批准转设并更名为广州应用科技学院。根据需要，对本次项目进行公开询价，欢迎国内合格参与人参与。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0"/>
          <w:numId w:val="0"/>
        </w:numPr>
        <w:spacing w:after="0" w:line="500" w:lineRule="exact"/>
        <w:ind w:left="420" w:leftChars="0"/>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项目编号：A-GZXJ2023-0601</w:t>
      </w:r>
    </w:p>
    <w:p>
      <w:pPr>
        <w:widowControl w:val="0"/>
        <w:numPr>
          <w:ilvl w:val="0"/>
          <w:numId w:val="0"/>
        </w:numPr>
        <w:spacing w:after="0" w:line="500" w:lineRule="exact"/>
        <w:ind w:left="420" w:leftChars="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项目名称：广州应用科技学院广州校区关于制作门牌及楼栋号等物料</w:t>
      </w:r>
      <w:r>
        <w:rPr>
          <w:rFonts w:hint="eastAsia" w:ascii="仿宋" w:hAnsi="仿宋" w:eastAsia="仿宋"/>
          <w:sz w:val="24"/>
          <w:szCs w:val="24"/>
          <w:lang w:val="en-US" w:eastAsia="zh-CN"/>
        </w:rPr>
        <w:t>采购项目</w:t>
      </w:r>
    </w:p>
    <w:p>
      <w:pPr>
        <w:widowControl w:val="0"/>
        <w:numPr>
          <w:ilvl w:val="0"/>
          <w:numId w:val="0"/>
        </w:numPr>
        <w:shd w:val="clear"/>
        <w:spacing w:after="0" w:line="500" w:lineRule="exact"/>
        <w:ind w:left="420" w:leftChars="0"/>
        <w:rPr>
          <w:rFonts w:ascii="仿宋" w:hAnsi="仿宋" w:eastAsia="仿宋"/>
          <w:sz w:val="24"/>
          <w:szCs w:val="24"/>
          <w:highlight w:val="yellow"/>
        </w:rPr>
      </w:pPr>
      <w:r>
        <w:rPr>
          <w:rFonts w:hint="eastAsia" w:ascii="仿宋" w:hAnsi="仿宋" w:eastAsia="仿宋"/>
          <w:sz w:val="24"/>
          <w:szCs w:val="24"/>
          <w:lang w:val="en-US" w:eastAsia="zh-CN"/>
        </w:rPr>
        <w:t>3.</w:t>
      </w:r>
      <w:r>
        <w:rPr>
          <w:rFonts w:hint="eastAsia" w:ascii="仿宋" w:hAnsi="仿宋" w:eastAsia="仿宋"/>
          <w:sz w:val="24"/>
          <w:szCs w:val="24"/>
        </w:rPr>
        <w:t>数量及主要技术要求:详见</w:t>
      </w:r>
      <w:r>
        <w:rPr>
          <w:rFonts w:hint="eastAsia" w:ascii="仿宋" w:hAnsi="仿宋" w:eastAsia="仿宋"/>
          <w:color w:val="000000" w:themeColor="text1"/>
          <w:sz w:val="24"/>
          <w:szCs w:val="24"/>
          <w:highlight w:val="none"/>
          <w14:textFill>
            <w14:solidFill>
              <w14:schemeClr w14:val="tx1"/>
            </w14:solidFill>
          </w14:textFill>
        </w:rPr>
        <w:t>《公开询价货物一览表》。</w:t>
      </w:r>
    </w:p>
    <w:p>
      <w:pPr>
        <w:widowControl w:val="0"/>
        <w:numPr>
          <w:ilvl w:val="0"/>
          <w:numId w:val="0"/>
        </w:numPr>
        <w:spacing w:after="0" w:line="500" w:lineRule="exact"/>
        <w:ind w:left="420" w:leftChars="0"/>
        <w:rPr>
          <w:rFonts w:ascii="仿宋" w:hAnsi="仿宋" w:eastAsia="仿宋"/>
          <w:sz w:val="24"/>
          <w:szCs w:val="24"/>
          <w:highlight w:val="yellow"/>
        </w:rPr>
      </w:pPr>
      <w:r>
        <w:rPr>
          <w:rFonts w:hint="eastAsia" w:ascii="仿宋" w:hAnsi="仿宋" w:eastAsia="仿宋"/>
          <w:sz w:val="24"/>
          <w:szCs w:val="24"/>
          <w:lang w:val="en-US" w:eastAsia="zh-CN"/>
        </w:rPr>
        <w:t>4.</w:t>
      </w:r>
      <w:r>
        <w:rPr>
          <w:rFonts w:hint="eastAsia" w:ascii="仿宋" w:hAnsi="仿宋" w:eastAsia="仿宋"/>
          <w:sz w:val="24"/>
          <w:szCs w:val="24"/>
        </w:rPr>
        <w:t>参与人资格标准：</w:t>
      </w:r>
    </w:p>
    <w:p>
      <w:pPr>
        <w:pStyle w:val="55"/>
        <w:numPr>
          <w:ilvl w:val="0"/>
          <w:numId w:val="1"/>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参与人应具有独立法人资格的生产厂商或授权经销商。</w:t>
      </w:r>
    </w:p>
    <w:p>
      <w:pPr>
        <w:pStyle w:val="55"/>
        <w:numPr>
          <w:ilvl w:val="0"/>
          <w:numId w:val="1"/>
        </w:numPr>
        <w:spacing w:after="0" w:line="500" w:lineRule="exact"/>
        <w:ind w:firstLineChars="0"/>
        <w:rPr>
          <w:rFonts w:hint="eastAsia" w:ascii="仿宋" w:hAnsi="仿宋" w:eastAsia="仿宋"/>
          <w:sz w:val="24"/>
          <w:szCs w:val="24"/>
        </w:rPr>
      </w:pPr>
      <w:r>
        <w:rPr>
          <w:rFonts w:hint="eastAsia" w:ascii="仿宋" w:hAnsi="仿宋" w:eastAsia="仿宋"/>
          <w:sz w:val="24"/>
          <w:szCs w:val="24"/>
        </w:rPr>
        <w:t>参与人应具有提供微课设备服务的资格及能力（须附相关资料证明）。在珠三角范围有固定售后服务机构，具备相应的质量保证和维护能力。</w:t>
      </w:r>
    </w:p>
    <w:p>
      <w:pPr>
        <w:pStyle w:val="55"/>
        <w:numPr>
          <w:ilvl w:val="0"/>
          <w:numId w:val="1"/>
        </w:numPr>
        <w:spacing w:after="0" w:line="500" w:lineRule="exact"/>
        <w:ind w:firstLineChars="0"/>
        <w:rPr>
          <w:rFonts w:hint="eastAsia" w:ascii="仿宋" w:hAnsi="仿宋" w:eastAsia="仿宋"/>
          <w:sz w:val="24"/>
          <w:szCs w:val="24"/>
        </w:rPr>
      </w:pPr>
      <w:r>
        <w:rPr>
          <w:rFonts w:hint="eastAsia" w:ascii="仿宋" w:hAnsi="仿宋" w:eastAsia="仿宋"/>
          <w:sz w:val="24"/>
          <w:szCs w:val="24"/>
        </w:rPr>
        <w:t>参与人应遵守中国的有关法律、法规和规章的规定。参与人应遵守中国的有关法律、法规和规章的规定。</w:t>
      </w:r>
    </w:p>
    <w:p>
      <w:pPr>
        <w:pStyle w:val="55"/>
        <w:numPr>
          <w:ilvl w:val="0"/>
          <w:numId w:val="1"/>
        </w:numPr>
        <w:spacing w:after="0" w:line="500" w:lineRule="exact"/>
        <w:ind w:firstLineChars="0"/>
        <w:rPr>
          <w:rFonts w:hint="eastAsia" w:ascii="仿宋" w:hAnsi="仿宋" w:eastAsia="仿宋"/>
          <w:sz w:val="24"/>
          <w:szCs w:val="24"/>
        </w:rPr>
      </w:pPr>
      <w:r>
        <w:rPr>
          <w:rFonts w:hint="eastAsia" w:ascii="仿宋" w:hAnsi="仿宋" w:eastAsia="仿宋"/>
          <w:sz w:val="24"/>
          <w:szCs w:val="24"/>
        </w:rPr>
        <w:t>参与人须有良好的商业信誉和健全的财务制度（须附财务报表）。</w:t>
      </w:r>
    </w:p>
    <w:p>
      <w:pPr>
        <w:pStyle w:val="55"/>
        <w:numPr>
          <w:ilvl w:val="0"/>
          <w:numId w:val="1"/>
        </w:numPr>
        <w:spacing w:after="0" w:line="500" w:lineRule="exact"/>
        <w:ind w:firstLineChars="0"/>
        <w:rPr>
          <w:rFonts w:ascii="仿宋" w:hAnsi="仿宋" w:eastAsia="仿宋"/>
          <w:sz w:val="24"/>
          <w:szCs w:val="24"/>
        </w:rPr>
      </w:pPr>
      <w:r>
        <w:rPr>
          <w:rFonts w:hint="eastAsia" w:ascii="仿宋" w:hAnsi="仿宋" w:eastAsia="仿宋"/>
          <w:sz w:val="24"/>
          <w:szCs w:val="24"/>
        </w:rPr>
        <w:t>参与人有依法缴纳税金和社会保障资金的良好记录（须提供完税证明）。</w:t>
      </w:r>
    </w:p>
    <w:p>
      <w:pPr>
        <w:widowControl w:val="0"/>
        <w:numPr>
          <w:ilvl w:val="0"/>
          <w:numId w:val="0"/>
        </w:numPr>
        <w:spacing w:after="0" w:line="500" w:lineRule="exact"/>
        <w:ind w:left="420" w:leftChars="0"/>
        <w:rPr>
          <w:rFonts w:ascii="仿宋" w:hAnsi="仿宋" w:eastAsia="仿宋"/>
          <w:sz w:val="24"/>
          <w:szCs w:val="24"/>
          <w:shd w:val="clear" w:color="auto" w:fill="FFFFFF"/>
        </w:rPr>
      </w:pPr>
      <w:r>
        <w:rPr>
          <w:rFonts w:hint="eastAsia" w:ascii="仿宋" w:hAnsi="仿宋" w:eastAsia="仿宋"/>
          <w:sz w:val="24"/>
          <w:szCs w:val="24"/>
          <w:lang w:val="en-US" w:eastAsia="zh-CN"/>
        </w:rPr>
        <w:t>5.</w:t>
      </w:r>
      <w:r>
        <w:rPr>
          <w:rFonts w:hint="eastAsia" w:ascii="仿宋" w:hAnsi="仿宋" w:eastAsia="仿宋"/>
          <w:sz w:val="24"/>
          <w:szCs w:val="24"/>
        </w:rPr>
        <w:t>报价响应文件递交方式：</w:t>
      </w:r>
      <w:r>
        <w:rPr>
          <w:rFonts w:hint="eastAsia" w:ascii="仿宋" w:hAnsi="仿宋" w:eastAsia="仿宋"/>
          <w:b/>
          <w:bCs/>
          <w:sz w:val="24"/>
          <w:szCs w:val="24"/>
        </w:rPr>
        <w:t>密封报价，按规定时间</w:t>
      </w:r>
      <w:r>
        <w:rPr>
          <w:rFonts w:hint="eastAsia" w:ascii="仿宋" w:hAnsi="仿宋" w:eastAsia="仿宋"/>
          <w:b/>
          <w:bCs/>
          <w:sz w:val="24"/>
          <w:szCs w:val="24"/>
          <w:lang w:val="en-US" w:eastAsia="zh-CN"/>
        </w:rPr>
        <w:t>现场递交</w:t>
      </w:r>
      <w:r>
        <w:rPr>
          <w:rFonts w:hint="eastAsia" w:ascii="仿宋" w:hAnsi="仿宋" w:eastAsia="仿宋"/>
          <w:sz w:val="24"/>
          <w:szCs w:val="24"/>
        </w:rPr>
        <w:t>。</w:t>
      </w:r>
    </w:p>
    <w:p>
      <w:pPr>
        <w:widowControl w:val="0"/>
        <w:numPr>
          <w:ilvl w:val="0"/>
          <w:numId w:val="0"/>
        </w:numPr>
        <w:spacing w:after="0" w:line="500" w:lineRule="exact"/>
        <w:ind w:left="658" w:leftChars="190" w:hanging="240" w:hangingChars="100"/>
        <w:rPr>
          <w:rFonts w:ascii="仿宋" w:hAnsi="仿宋" w:eastAsia="仿宋"/>
          <w:sz w:val="24"/>
          <w:szCs w:val="24"/>
          <w:shd w:val="clear" w:color="auto" w:fill="FFFFFF"/>
        </w:rPr>
      </w:pPr>
      <w:r>
        <w:rPr>
          <w:rFonts w:hint="eastAsia" w:ascii="仿宋" w:hAnsi="仿宋" w:eastAsia="仿宋"/>
          <w:sz w:val="24"/>
          <w:szCs w:val="24"/>
          <w:lang w:val="en-US" w:eastAsia="zh-CN"/>
        </w:rPr>
        <w:t>6.</w:t>
      </w:r>
      <w:r>
        <w:rPr>
          <w:rFonts w:hint="eastAsia" w:ascii="仿宋" w:hAnsi="仿宋" w:eastAsia="仿宋"/>
          <w:sz w:val="24"/>
          <w:szCs w:val="24"/>
        </w:rPr>
        <w:t>报价响应文件递交截止时间</w:t>
      </w:r>
      <w:r>
        <w:rPr>
          <w:rFonts w:hint="eastAsia" w:ascii="仿宋" w:hAnsi="仿宋" w:eastAsia="仿宋"/>
          <w:sz w:val="24"/>
          <w:szCs w:val="24"/>
          <w:shd w:val="clear" w:color="auto" w:fill="FFFFFF"/>
        </w:rPr>
        <w:t>：</w:t>
      </w:r>
      <w:r>
        <w:rPr>
          <w:rFonts w:hint="eastAsia" w:ascii="仿宋" w:hAnsi="仿宋" w:eastAsia="仿宋"/>
          <w:color w:val="auto"/>
          <w:sz w:val="24"/>
          <w:szCs w:val="24"/>
          <w:shd w:val="clear" w:color="auto" w:fill="FFFFFF"/>
          <w:lang w:val="en-US" w:eastAsia="zh-CN"/>
        </w:rPr>
        <w:t>2023</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07</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04</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rPr>
        <w:t>下午</w:t>
      </w:r>
      <w:r>
        <w:rPr>
          <w:rFonts w:ascii="仿宋" w:hAnsi="仿宋" w:eastAsia="仿宋"/>
          <w:color w:val="auto"/>
          <w:sz w:val="24"/>
          <w:szCs w:val="24"/>
          <w:shd w:val="clear" w:color="auto" w:fill="FFFFFF"/>
        </w:rPr>
        <w:t>16</w:t>
      </w:r>
      <w:r>
        <w:rPr>
          <w:rFonts w:hint="eastAsia" w:ascii="仿宋" w:hAnsi="仿宋" w:eastAsia="仿宋"/>
          <w:color w:val="auto"/>
          <w:sz w:val="24"/>
          <w:szCs w:val="24"/>
          <w:shd w:val="clear" w:color="auto" w:fill="FFFFFF"/>
        </w:rPr>
        <w:t>:</w:t>
      </w:r>
      <w:r>
        <w:rPr>
          <w:rFonts w:ascii="仿宋" w:hAnsi="仿宋" w:eastAsia="仿宋"/>
          <w:color w:val="auto"/>
          <w:sz w:val="24"/>
          <w:szCs w:val="24"/>
          <w:shd w:val="clear" w:color="auto" w:fill="FFFFFF"/>
        </w:rPr>
        <w:t>00</w:t>
      </w:r>
      <w:r>
        <w:rPr>
          <w:rFonts w:hint="eastAsia" w:ascii="仿宋" w:hAnsi="仿宋" w:eastAsia="仿宋"/>
          <w:color w:val="auto"/>
          <w:sz w:val="24"/>
          <w:szCs w:val="24"/>
          <w:shd w:val="clear" w:color="auto" w:fill="FFFFFF"/>
        </w:rPr>
        <w:t>前。</w:t>
      </w:r>
    </w:p>
    <w:p>
      <w:pPr>
        <w:pStyle w:val="55"/>
        <w:numPr>
          <w:ilvl w:val="0"/>
          <w:numId w:val="0"/>
        </w:numPr>
        <w:spacing w:after="0" w:line="500" w:lineRule="exact"/>
        <w:ind w:left="658" w:leftChars="190" w:hanging="240" w:hangingChars="100"/>
        <w:rPr>
          <w:rFonts w:ascii="仿宋" w:hAnsi="仿宋" w:eastAsia="仿宋"/>
          <w:sz w:val="24"/>
          <w:szCs w:val="24"/>
        </w:rPr>
      </w:pPr>
      <w:r>
        <w:rPr>
          <w:rFonts w:hint="eastAsia" w:ascii="仿宋" w:hAnsi="仿宋" w:eastAsia="仿宋"/>
          <w:sz w:val="24"/>
          <w:szCs w:val="24"/>
          <w:lang w:val="en-US" w:eastAsia="zh-CN"/>
        </w:rPr>
        <w:t>7.</w:t>
      </w:r>
      <w:r>
        <w:rPr>
          <w:rFonts w:hint="eastAsia" w:ascii="仿宋" w:hAnsi="仿宋" w:eastAsia="仿宋"/>
          <w:sz w:val="24"/>
          <w:szCs w:val="24"/>
        </w:rPr>
        <w:t>报价响应文件递交地点：广东省广州市增城区朱村街朱村大道东432号广州松田职业学院</w:t>
      </w:r>
      <w:r>
        <w:rPr>
          <w:rFonts w:hint="eastAsia" w:ascii="仿宋" w:hAnsi="仿宋" w:eastAsia="仿宋"/>
          <w:sz w:val="24"/>
          <w:szCs w:val="24"/>
          <w:lang w:eastAsia="zh-CN"/>
        </w:rPr>
        <w:t>。</w:t>
      </w:r>
    </w:p>
    <w:p>
      <w:pPr>
        <w:pStyle w:val="55"/>
        <w:spacing w:after="0" w:line="500" w:lineRule="exact"/>
        <w:ind w:firstLine="720" w:firstLineChars="300"/>
        <w:rPr>
          <w:rFonts w:hint="default"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吴老师</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18122166662.</w:t>
      </w:r>
    </w:p>
    <w:p>
      <w:pPr>
        <w:widowControl w:val="0"/>
        <w:numPr>
          <w:ilvl w:val="0"/>
          <w:numId w:val="0"/>
        </w:numPr>
        <w:pBdr>
          <w:top w:val="none" w:color="auto" w:sz="0" w:space="0"/>
          <w:left w:val="none" w:color="auto" w:sz="0" w:space="0"/>
          <w:bottom w:val="none" w:color="auto" w:sz="0" w:space="0"/>
          <w:right w:val="none" w:color="auto" w:sz="0" w:space="0"/>
        </w:pBdr>
        <w:shd w:val="clear"/>
        <w:spacing w:after="0" w:line="500" w:lineRule="exact"/>
        <w:ind w:left="438" w:leftChars="199" w:firstLine="0" w:firstLineChars="0"/>
        <w:rPr>
          <w:rFonts w:hint="eastAsia" w:ascii="仿宋" w:hAnsi="仿宋" w:eastAsia="仿宋"/>
          <w:sz w:val="24"/>
          <w:szCs w:val="24"/>
        </w:rPr>
      </w:pPr>
      <w:r>
        <w:rPr>
          <w:rFonts w:hint="eastAsia" w:ascii="仿宋" w:hAnsi="仿宋" w:eastAsia="仿宋"/>
          <w:sz w:val="24"/>
          <w:szCs w:val="24"/>
          <w:lang w:val="en-US" w:eastAsia="zh-CN"/>
        </w:rPr>
        <w:t>8.</w:t>
      </w:r>
      <w:r>
        <w:rPr>
          <w:rFonts w:hint="eastAsia" w:ascii="仿宋" w:hAnsi="仿宋" w:eastAsia="仿宋"/>
          <w:sz w:val="24"/>
          <w:szCs w:val="24"/>
        </w:rPr>
        <w:t>本项目需参与人在递交响应文件同时提供所投产品样品，成交参与人样品视情况予以封存或退回。</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658" w:leftChars="190" w:hanging="240" w:hangingChars="100"/>
        <w:textAlignment w:val="auto"/>
        <w:rPr>
          <w:rFonts w:hint="eastAsia" w:ascii="仿宋" w:hAnsi="仿宋" w:eastAsia="仿宋"/>
          <w:color w:val="auto"/>
          <w:sz w:val="24"/>
          <w:szCs w:val="24"/>
        </w:rPr>
      </w:pPr>
      <w:r>
        <w:rPr>
          <w:rFonts w:hint="eastAsia" w:ascii="仿宋" w:hAnsi="仿宋" w:eastAsia="仿宋"/>
          <w:color w:val="auto"/>
          <w:sz w:val="24"/>
          <w:szCs w:val="24"/>
          <w:lang w:val="en-US" w:eastAsia="zh-CN"/>
        </w:rPr>
        <w:t>9.</w:t>
      </w:r>
      <w:r>
        <w:rPr>
          <w:rFonts w:hint="eastAsia" w:ascii="仿宋" w:hAnsi="仿宋" w:eastAsia="仿宋"/>
          <w:color w:val="auto"/>
          <w:sz w:val="24"/>
          <w:szCs w:val="24"/>
        </w:rPr>
        <w:t>本项目需参与人进行现场踏勘，参与人踏勘现场发生的费用自理，参与人自行负责在踏勘现场中所发生的人员伤亡和财产损失。未对现场踏勘的视为对现场充分了解，且对所投响应文件负责。</w:t>
      </w:r>
      <w:bookmarkStart w:id="46" w:name="_Hlk98161665"/>
    </w:p>
    <w:p>
      <w:pPr>
        <w:widowControl w:val="0"/>
        <w:tabs>
          <w:tab w:val="left" w:pos="839"/>
        </w:tabs>
        <w:spacing w:after="0" w:line="460" w:lineRule="exact"/>
        <w:ind w:firstLine="720" w:firstLineChars="300"/>
        <w:rPr>
          <w:rFonts w:hint="eastAsia" w:ascii="仿宋" w:hAnsi="仿宋" w:eastAsia="仿宋"/>
          <w:b w:val="0"/>
          <w:bCs w:val="0"/>
          <w:color w:val="auto"/>
          <w:sz w:val="24"/>
          <w:szCs w:val="24"/>
          <w:lang w:val="en-US" w:eastAsia="zh-CN"/>
        </w:rPr>
      </w:pPr>
      <w:r>
        <w:rPr>
          <w:rFonts w:hint="eastAsia" w:ascii="仿宋" w:hAnsi="仿宋" w:eastAsia="仿宋"/>
          <w:color w:val="auto"/>
          <w:sz w:val="24"/>
          <w:szCs w:val="24"/>
        </w:rPr>
        <w:t>踏勘</w:t>
      </w:r>
      <w:r>
        <w:rPr>
          <w:rFonts w:hint="eastAsia" w:ascii="仿宋" w:hAnsi="仿宋" w:eastAsia="仿宋"/>
          <w:color w:val="auto"/>
          <w:sz w:val="24"/>
          <w:szCs w:val="24"/>
          <w:lang w:val="en-US" w:eastAsia="zh-CN"/>
        </w:rPr>
        <w:t>时间</w:t>
      </w:r>
      <w:r>
        <w:rPr>
          <w:rFonts w:hint="eastAsia" w:ascii="仿宋" w:hAnsi="仿宋" w:eastAsia="仿宋"/>
          <w:color w:val="auto"/>
          <w:sz w:val="24"/>
          <w:szCs w:val="24"/>
        </w:rPr>
        <w:t>：</w:t>
      </w:r>
      <w:r>
        <w:rPr>
          <w:rFonts w:hint="eastAsia" w:ascii="仿宋" w:hAnsi="仿宋" w:eastAsia="仿宋"/>
          <w:b w:val="0"/>
          <w:bCs w:val="0"/>
          <w:color w:val="auto"/>
          <w:sz w:val="24"/>
          <w:szCs w:val="24"/>
          <w:lang w:val="en-US" w:eastAsia="zh-CN"/>
        </w:rPr>
        <w:t>2023年06月29日上午9:00</w:t>
      </w:r>
    </w:p>
    <w:p>
      <w:pPr>
        <w:widowControl w:val="0"/>
        <w:tabs>
          <w:tab w:val="left" w:pos="839"/>
        </w:tabs>
        <w:spacing w:after="0" w:line="460" w:lineRule="exact"/>
        <w:ind w:firstLine="720" w:firstLineChars="300"/>
        <w:rPr>
          <w:rFonts w:hint="default" w:ascii="仿宋" w:hAnsi="仿宋" w:eastAsia="仿宋"/>
          <w:color w:val="auto"/>
          <w:sz w:val="24"/>
          <w:szCs w:val="24"/>
          <w:lang w:val="en-US" w:eastAsia="zh-CN"/>
        </w:rPr>
      </w:pPr>
      <w:r>
        <w:rPr>
          <w:rFonts w:hint="eastAsia" w:ascii="仿宋" w:hAnsi="仿宋" w:eastAsia="仿宋"/>
          <w:color w:val="auto"/>
          <w:sz w:val="24"/>
          <w:szCs w:val="24"/>
        </w:rPr>
        <w:t>踏勘</w:t>
      </w:r>
      <w:r>
        <w:rPr>
          <w:rFonts w:hint="eastAsia" w:ascii="仿宋" w:hAnsi="仿宋" w:eastAsia="仿宋"/>
          <w:color w:val="auto"/>
          <w:sz w:val="24"/>
          <w:szCs w:val="24"/>
          <w:lang w:val="en-US" w:eastAsia="zh-CN"/>
        </w:rPr>
        <w:t>地点：广东省广州市增城区朱村街朱村大道东432号</w:t>
      </w:r>
    </w:p>
    <w:bookmarkEnd w:id="46"/>
    <w:p>
      <w:pPr>
        <w:widowControl w:val="0"/>
        <w:tabs>
          <w:tab w:val="left" w:pos="839"/>
        </w:tabs>
        <w:spacing w:after="0" w:line="460" w:lineRule="exact"/>
        <w:ind w:firstLine="720" w:firstLineChars="300"/>
        <w:rPr>
          <w:rFonts w:hint="eastAsia" w:ascii="仿宋" w:hAnsi="仿宋" w:eastAsia="仿宋"/>
          <w:sz w:val="24"/>
          <w:szCs w:val="24"/>
        </w:rPr>
      </w:pPr>
      <w:r>
        <w:rPr>
          <w:rFonts w:hint="eastAsia" w:ascii="仿宋" w:hAnsi="仿宋" w:eastAsia="仿宋"/>
          <w:b w:val="0"/>
          <w:bCs w:val="0"/>
          <w:color w:val="auto"/>
          <w:sz w:val="24"/>
          <w:szCs w:val="24"/>
          <w:lang w:val="en-US" w:eastAsia="zh-CN"/>
        </w:rPr>
        <w:t>探勘联系人：吴老师，电话：18122166662</w:t>
      </w:r>
    </w:p>
    <w:p>
      <w:pPr>
        <w:widowControl w:val="0"/>
        <w:numPr>
          <w:ilvl w:val="0"/>
          <w:numId w:val="0"/>
        </w:numPr>
        <w:spacing w:after="0" w:line="500" w:lineRule="exact"/>
        <w:ind w:left="658" w:leftChars="190" w:hanging="240" w:hangingChars="100"/>
        <w:rPr>
          <w:rFonts w:ascii="仿宋" w:hAnsi="仿宋" w:eastAsia="仿宋"/>
          <w:color w:val="auto"/>
          <w:sz w:val="24"/>
          <w:szCs w:val="24"/>
        </w:rPr>
      </w:pPr>
      <w:r>
        <w:rPr>
          <w:rFonts w:hint="eastAsia" w:ascii="仿宋" w:hAnsi="仿宋" w:eastAsia="仿宋"/>
          <w:color w:val="auto"/>
          <w:sz w:val="24"/>
          <w:szCs w:val="24"/>
          <w:lang w:val="en-US" w:eastAsia="zh-CN"/>
        </w:rPr>
        <w:t>10.</w:t>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w:t>
      </w:r>
      <w:bookmarkStart w:id="180" w:name="_GoBack"/>
      <w:bookmarkEnd w:id="180"/>
      <w:r>
        <w:rPr>
          <w:rFonts w:hint="eastAsia" w:ascii="仿宋" w:hAnsi="仿宋" w:eastAsia="仿宋"/>
          <w:b/>
          <w:bCs/>
          <w:color w:val="auto"/>
          <w:sz w:val="24"/>
          <w:szCs w:val="24"/>
        </w:rPr>
        <w:t>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w:t>
      </w:r>
      <w:r>
        <w:rPr>
          <w:rFonts w:hint="eastAsia" w:ascii="仿宋" w:hAnsi="仿宋" w:eastAsia="仿宋"/>
          <w:color w:val="auto"/>
          <w:sz w:val="24"/>
          <w:szCs w:val="24"/>
          <w:lang w:val="en-US" w:eastAsia="zh-CN"/>
        </w:rPr>
        <w:t>吴老师</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18122166662</w:t>
      </w:r>
      <w:r>
        <w:rPr>
          <w:rFonts w:hint="eastAsia" w:ascii="仿宋" w:hAnsi="仿宋" w:eastAsia="仿宋"/>
          <w:color w:val="auto"/>
          <w:sz w:val="24"/>
          <w:szCs w:val="24"/>
        </w:rPr>
        <w:t>。采购人不对超时提交及未加盖公章的质疑文件进行回复。</w:t>
      </w:r>
    </w:p>
    <w:p>
      <w:pPr>
        <w:widowControl w:val="0"/>
        <w:numPr>
          <w:ilvl w:val="0"/>
          <w:numId w:val="0"/>
        </w:numPr>
        <w:spacing w:after="0" w:line="460" w:lineRule="exact"/>
        <w:ind w:left="658" w:leftChars="190" w:hanging="240" w:hangingChars="100"/>
        <w:rPr>
          <w:rFonts w:ascii="仿宋" w:hAnsi="仿宋" w:eastAsia="仿宋"/>
          <w:color w:val="auto"/>
          <w:sz w:val="24"/>
          <w:szCs w:val="24"/>
        </w:rPr>
      </w:pPr>
      <w:bookmarkStart w:id="47" w:name="_Hlk97917519"/>
      <w:r>
        <w:rPr>
          <w:rFonts w:hint="eastAsia" w:ascii="仿宋" w:hAnsi="仿宋" w:eastAsia="仿宋"/>
          <w:color w:val="auto"/>
          <w:sz w:val="24"/>
          <w:szCs w:val="24"/>
          <w:lang w:val="en-US" w:eastAsia="zh-CN"/>
        </w:rPr>
        <w:t>11.</w:t>
      </w:r>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8"/>
          <w:rFonts w:hint="eastAsia" w:ascii="仿宋" w:hAnsi="仿宋" w:eastAsia="仿宋"/>
          <w:color w:val="auto"/>
          <w:sz w:val="24"/>
          <w:szCs w:val="24"/>
        </w:rPr>
        <w:t>www.ceghqxz.com</w:t>
      </w:r>
      <w:r>
        <w:rPr>
          <w:rStyle w:val="28"/>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47"/>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firstLine="720" w:firstLineChars="300"/>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0"/>
          <w:numId w:val="0"/>
        </w:numPr>
        <w:spacing w:after="0" w:line="500" w:lineRule="exact"/>
        <w:ind w:left="420" w:leftChars="0"/>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所有货物均以人民币报价；</w:t>
      </w:r>
    </w:p>
    <w:p>
      <w:pPr>
        <w:widowControl w:val="0"/>
        <w:numPr>
          <w:ilvl w:val="0"/>
          <w:numId w:val="0"/>
        </w:numPr>
        <w:spacing w:after="0" w:line="500" w:lineRule="exact"/>
        <w:ind w:left="420" w:leftChars="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b/>
          <w:bCs/>
          <w:sz w:val="24"/>
          <w:szCs w:val="24"/>
          <w:lang w:val="en-US" w:eastAsia="zh-CN"/>
        </w:rPr>
        <w:t>报价响应文件3份，</w:t>
      </w:r>
      <w:r>
        <w:rPr>
          <w:rFonts w:hint="eastAsia" w:ascii="仿宋" w:hAnsi="仿宋" w:eastAsia="仿宋"/>
          <w:b/>
          <w:bCs/>
          <w:sz w:val="24"/>
          <w:szCs w:val="24"/>
        </w:rPr>
        <w:t>报价响应文件</w:t>
      </w:r>
      <w:r>
        <w:rPr>
          <w:rFonts w:ascii="仿宋" w:hAnsi="仿宋" w:eastAsia="仿宋"/>
          <w:b/>
          <w:bCs/>
          <w:sz w:val="24"/>
          <w:szCs w:val="24"/>
        </w:rPr>
        <w:t>必须用A4幅面纸张打印</w:t>
      </w:r>
      <w:r>
        <w:rPr>
          <w:rFonts w:hint="eastAsia" w:ascii="仿宋" w:hAnsi="仿宋" w:eastAsia="仿宋"/>
          <w:b/>
          <w:bCs/>
          <w:sz w:val="24"/>
          <w:szCs w:val="24"/>
        </w:rPr>
        <w:t>，须由参与人填写并加盖公章</w:t>
      </w:r>
      <w:r>
        <w:rPr>
          <w:rFonts w:hint="eastAsia" w:ascii="仿宋" w:hAnsi="仿宋" w:eastAsia="仿宋"/>
          <w:b/>
          <w:bCs/>
          <w:sz w:val="24"/>
          <w:szCs w:val="24"/>
          <w:lang w:eastAsia="zh-CN"/>
        </w:rPr>
        <w:t>（</w:t>
      </w:r>
      <w:r>
        <w:rPr>
          <w:rFonts w:hint="eastAsia" w:ascii="仿宋" w:hAnsi="仿宋" w:eastAsia="仿宋"/>
          <w:b/>
          <w:bCs/>
          <w:sz w:val="24"/>
          <w:szCs w:val="24"/>
          <w:lang w:val="en-US" w:eastAsia="zh-CN"/>
        </w:rPr>
        <w:t>正本1份副本2份</w:t>
      </w:r>
      <w:r>
        <w:rPr>
          <w:rFonts w:hint="eastAsia" w:ascii="仿宋" w:hAnsi="仿宋" w:eastAsia="仿宋"/>
          <w:sz w:val="24"/>
          <w:szCs w:val="24"/>
          <w:lang w:eastAsia="zh-CN"/>
        </w:rPr>
        <w:t>）；</w:t>
      </w:r>
    </w:p>
    <w:p>
      <w:pPr>
        <w:widowControl w:val="0"/>
        <w:numPr>
          <w:ilvl w:val="0"/>
          <w:numId w:val="0"/>
        </w:numPr>
        <w:spacing w:after="0" w:line="500" w:lineRule="exact"/>
        <w:ind w:left="658" w:leftChars="190" w:hanging="240" w:hangingChars="1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报价响应文件用不退色墨水书写或打印，因字迹潦草或表达不清所引起的后果由参与人自负；</w:t>
      </w:r>
    </w:p>
    <w:p>
      <w:pPr>
        <w:widowControl w:val="0"/>
        <w:numPr>
          <w:ilvl w:val="0"/>
          <w:numId w:val="0"/>
        </w:numPr>
        <w:spacing w:after="0" w:line="500" w:lineRule="exact"/>
        <w:ind w:left="658" w:leftChars="190" w:hanging="240" w:hangingChars="1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0"/>
          <w:numId w:val="0"/>
        </w:numPr>
        <w:spacing w:after="0" w:line="500" w:lineRule="exact"/>
        <w:ind w:left="420" w:leftChars="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一个参与人只能提交一个报价响应文件，本项目不接受联合体报价。</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5"/>
        <w:widowControl w:val="0"/>
        <w:numPr>
          <w:ilvl w:val="0"/>
          <w:numId w:val="0"/>
        </w:numPr>
        <w:spacing w:after="0" w:line="500" w:lineRule="exact"/>
        <w:ind w:left="426" w:leftChars="0"/>
        <w:jc w:val="left"/>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免费保修期:</w:t>
      </w:r>
      <w:r>
        <w:rPr>
          <w:rFonts w:hint="eastAsia" w:ascii="仿宋" w:hAnsi="仿宋" w:eastAsia="仿宋"/>
          <w:sz w:val="24"/>
          <w:szCs w:val="24"/>
          <w:lang w:val="en-US" w:eastAsia="zh-CN"/>
        </w:rPr>
        <w:t>12</w:t>
      </w:r>
      <w:r>
        <w:rPr>
          <w:rFonts w:hint="eastAsia" w:ascii="仿宋" w:hAnsi="仿宋" w:eastAsia="仿宋"/>
          <w:sz w:val="24"/>
          <w:szCs w:val="24"/>
        </w:rPr>
        <w:t>个月</w:t>
      </w:r>
    </w:p>
    <w:p>
      <w:pPr>
        <w:pStyle w:val="55"/>
        <w:widowControl w:val="0"/>
        <w:numPr>
          <w:ilvl w:val="0"/>
          <w:numId w:val="0"/>
        </w:numPr>
        <w:spacing w:after="0" w:line="500" w:lineRule="exact"/>
        <w:ind w:left="426" w:leftChars="0"/>
        <w:jc w:val="left"/>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应急维修时间安排：</w:t>
      </w:r>
    </w:p>
    <w:p>
      <w:pPr>
        <w:pStyle w:val="55"/>
        <w:widowControl w:val="0"/>
        <w:numPr>
          <w:ilvl w:val="0"/>
          <w:numId w:val="0"/>
        </w:numPr>
        <w:spacing w:after="0" w:line="500" w:lineRule="exact"/>
        <w:ind w:left="426" w:leftChars="0"/>
        <w:jc w:val="left"/>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培训计划及人员安排：</w:t>
      </w:r>
    </w:p>
    <w:p>
      <w:pPr>
        <w:pStyle w:val="55"/>
        <w:widowControl w:val="0"/>
        <w:numPr>
          <w:ilvl w:val="0"/>
          <w:numId w:val="0"/>
        </w:numPr>
        <w:spacing w:after="0" w:line="500" w:lineRule="exact"/>
        <w:ind w:left="426" w:leftChars="0"/>
        <w:jc w:val="left"/>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维修地点、地址、联系电话及联系人员：</w:t>
      </w:r>
    </w:p>
    <w:p>
      <w:pPr>
        <w:pStyle w:val="55"/>
        <w:widowControl w:val="0"/>
        <w:numPr>
          <w:ilvl w:val="0"/>
          <w:numId w:val="0"/>
        </w:numPr>
        <w:spacing w:after="0" w:line="500" w:lineRule="exact"/>
        <w:ind w:left="426" w:leftChars="0"/>
        <w:jc w:val="left"/>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维修服务收费标准：</w:t>
      </w:r>
    </w:p>
    <w:p>
      <w:pPr>
        <w:pStyle w:val="55"/>
        <w:widowControl w:val="0"/>
        <w:numPr>
          <w:ilvl w:val="0"/>
          <w:numId w:val="0"/>
        </w:numPr>
        <w:spacing w:after="0" w:line="500" w:lineRule="exact"/>
        <w:ind w:left="426" w:leftChars="0"/>
        <w:jc w:val="left"/>
        <w:rPr>
          <w:rFonts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主要零配件及易耗品价格：</w:t>
      </w:r>
    </w:p>
    <w:p>
      <w:pPr>
        <w:pStyle w:val="55"/>
        <w:widowControl w:val="0"/>
        <w:numPr>
          <w:ilvl w:val="0"/>
          <w:numId w:val="0"/>
        </w:numPr>
        <w:spacing w:after="0" w:line="500" w:lineRule="exact"/>
        <w:ind w:left="426" w:leftChars="0"/>
        <w:jc w:val="left"/>
        <w:rPr>
          <w:rFonts w:ascii="仿宋" w:hAnsi="仿宋" w:eastAsia="仿宋"/>
          <w:sz w:val="24"/>
          <w:szCs w:val="24"/>
        </w:rPr>
      </w:pPr>
      <w:r>
        <w:rPr>
          <w:rFonts w:hint="eastAsia" w:ascii="仿宋" w:hAnsi="仿宋" w:eastAsia="仿宋"/>
          <w:sz w:val="24"/>
          <w:szCs w:val="24"/>
          <w:lang w:val="en-US" w:eastAsia="zh-CN"/>
        </w:rPr>
        <w:t>7.</w:t>
      </w:r>
      <w:r>
        <w:rPr>
          <w:rFonts w:hint="eastAsia" w:ascii="仿宋" w:hAnsi="仿宋" w:eastAsia="仿宋"/>
          <w:sz w:val="24"/>
          <w:szCs w:val="24"/>
        </w:rPr>
        <w:t>制造商的技术支持。</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5"/>
        <w:numPr>
          <w:ilvl w:val="0"/>
          <w:numId w:val="0"/>
        </w:numPr>
        <w:spacing w:after="0" w:line="500" w:lineRule="exact"/>
        <w:ind w:left="426" w:leftChars="0"/>
        <w:jc w:val="left"/>
        <w:rPr>
          <w:rFonts w:ascii="仿宋" w:hAnsi="仿宋" w:eastAsia="仿宋"/>
          <w:color w:val="auto"/>
          <w:sz w:val="24"/>
          <w:szCs w:val="24"/>
        </w:rPr>
      </w:pPr>
      <w:r>
        <w:rPr>
          <w:rFonts w:hint="eastAsia" w:ascii="仿宋" w:hAnsi="仿宋" w:eastAsia="仿宋"/>
          <w:color w:val="auto"/>
          <w:sz w:val="24"/>
          <w:szCs w:val="24"/>
          <w:lang w:val="en-US" w:eastAsia="zh-CN"/>
        </w:rPr>
        <w:t>1.</w:t>
      </w:r>
      <w:r>
        <w:rPr>
          <w:rFonts w:hint="eastAsia" w:ascii="仿宋" w:hAnsi="仿宋" w:eastAsia="仿宋"/>
          <w:color w:val="auto"/>
          <w:sz w:val="24"/>
          <w:szCs w:val="24"/>
        </w:rPr>
        <w:t>本项目为自有资金而非财政性资金采购，采购人按企业内部规定的标准进行评定。</w:t>
      </w:r>
    </w:p>
    <w:p>
      <w:pPr>
        <w:pStyle w:val="55"/>
        <w:numPr>
          <w:ilvl w:val="0"/>
          <w:numId w:val="0"/>
        </w:numPr>
        <w:spacing w:after="0" w:line="500" w:lineRule="exact"/>
        <w:ind w:left="426" w:leftChars="0"/>
        <w:jc w:val="left"/>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参与人所投物品符合需求、质量和服务等的要求,经过磋商所报价格为合理价格的参与人为成交参与人。</w:t>
      </w:r>
    </w:p>
    <w:p>
      <w:pPr>
        <w:pStyle w:val="55"/>
        <w:numPr>
          <w:ilvl w:val="0"/>
          <w:numId w:val="0"/>
        </w:numPr>
        <w:spacing w:after="0" w:line="500" w:lineRule="exact"/>
        <w:ind w:left="426" w:leftChars="0"/>
        <w:jc w:val="left"/>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最低报价不作为成交的保证。</w:t>
      </w: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0" w:leftChars="0" w:firstLine="0" w:firstLineChars="0"/>
        <w:jc w:val="left"/>
        <w:rPr>
          <w:rFonts w:ascii="仿宋" w:hAnsi="仿宋" w:eastAsia="仿宋"/>
          <w:sz w:val="24"/>
          <w:szCs w:val="24"/>
        </w:rPr>
      </w:pPr>
    </w:p>
    <w:p>
      <w:pPr>
        <w:pStyle w:val="55"/>
        <w:spacing w:after="0" w:line="500" w:lineRule="exact"/>
        <w:ind w:firstLine="7680" w:firstLineChars="3200"/>
        <w:jc w:val="lef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广州应用科技学院</w:t>
      </w:r>
    </w:p>
    <w:p>
      <w:pPr>
        <w:pStyle w:val="55"/>
        <w:spacing w:after="0" w:line="500" w:lineRule="exact"/>
        <w:ind w:left="7371" w:firstLine="240" w:firstLineChars="100"/>
        <w:jc w:val="left"/>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2023</w:t>
      </w:r>
      <w:r>
        <w:rPr>
          <w:rFonts w:hint="eastAsia" w:ascii="仿宋" w:hAnsi="仿宋" w:eastAsia="仿宋"/>
          <w:color w:val="auto"/>
          <w:sz w:val="24"/>
          <w:szCs w:val="24"/>
          <w:shd w:val="clear" w:color="auto" w:fill="auto"/>
        </w:rPr>
        <w:t>年</w:t>
      </w:r>
      <w:r>
        <w:rPr>
          <w:rFonts w:hint="eastAsia" w:ascii="仿宋" w:hAnsi="仿宋" w:eastAsia="仿宋"/>
          <w:color w:val="auto"/>
          <w:sz w:val="24"/>
          <w:szCs w:val="24"/>
          <w:shd w:val="clear" w:color="auto" w:fill="auto"/>
          <w:lang w:val="en-US" w:eastAsia="zh-CN"/>
        </w:rPr>
        <w:t>06月21</w:t>
      </w:r>
      <w:r>
        <w:rPr>
          <w:rFonts w:hint="eastAsia" w:ascii="仿宋" w:hAnsi="仿宋" w:eastAsia="仿宋"/>
          <w:color w:val="auto"/>
          <w:sz w:val="24"/>
          <w:szCs w:val="24"/>
          <w:shd w:val="clear" w:color="auto" w:fill="auto"/>
        </w:rPr>
        <w:t>日</w:t>
      </w:r>
    </w:p>
    <w:p>
      <w:pPr>
        <w:pStyle w:val="55"/>
        <w:spacing w:after="0" w:line="500" w:lineRule="exact"/>
        <w:ind w:left="0" w:leftChars="0" w:firstLine="0" w:firstLineChars="0"/>
        <w:jc w:val="center"/>
        <w:rPr>
          <w:rFonts w:ascii="仿宋" w:hAnsi="仿宋" w:eastAsia="仿宋"/>
          <w:color w:val="auto"/>
          <w:sz w:val="24"/>
          <w:szCs w:val="24"/>
        </w:rPr>
      </w:pPr>
      <w:r>
        <w:rPr>
          <w:rFonts w:ascii="仿宋" w:hAnsi="仿宋" w:eastAsia="仿宋"/>
          <w:color w:val="FF0000"/>
          <w:sz w:val="28"/>
          <w:szCs w:val="28"/>
        </w:rPr>
        <w:br w:type="page"/>
      </w:r>
      <w:r>
        <w:rPr>
          <w:rFonts w:hint="eastAsia" w:ascii="仿宋" w:hAnsi="仿宋" w:eastAsia="仿宋"/>
          <w:b/>
          <w:color w:val="auto"/>
          <w:sz w:val="44"/>
          <w:szCs w:val="44"/>
        </w:rPr>
        <w:t>公开询价货物一览表</w:t>
      </w:r>
      <w:bookmarkEnd w:id="45"/>
    </w:p>
    <w:tbl>
      <w:tblPr>
        <w:tblStyle w:val="24"/>
        <w:tblW w:w="10470" w:type="dxa"/>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5"/>
        <w:gridCol w:w="1620"/>
        <w:gridCol w:w="1320"/>
        <w:gridCol w:w="1695"/>
        <w:gridCol w:w="1381"/>
        <w:gridCol w:w="914"/>
        <w:gridCol w:w="825"/>
        <w:gridCol w:w="76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1047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theme="minorBidi"/>
                <w:b w:val="0"/>
                <w:bCs/>
                <w:color w:val="auto"/>
                <w:sz w:val="28"/>
                <w:szCs w:val="28"/>
                <w:lang w:val="en-US" w:eastAsia="zh-CN" w:bidi="ar-SA"/>
              </w:rPr>
              <w:t>门牌及楼栋号等物料清单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物料名称</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材料规格</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学院</w:t>
            </w:r>
          </w:p>
        </w:tc>
        <w:tc>
          <w:tcPr>
            <w:tcW w:w="3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内容</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地点 </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数量</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sz w:val="21"/>
                <w:szCs w:val="21"/>
                <w:lang w:val="en-US" w:eastAsia="zh-CN"/>
              </w:rPr>
              <w:t>单价</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sz w:val="21"/>
                <w:szCs w:val="21"/>
                <w:lang w:val="en-US" w:eastAsia="zh-CN"/>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109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中文</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英文</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办公室门牌</w:t>
            </w:r>
          </w:p>
        </w:tc>
        <w:tc>
          <w:tcPr>
            <w:tcW w:w="1620"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双层亚克力</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宽39cm*高15cm</w:t>
            </w:r>
          </w:p>
        </w:tc>
        <w:tc>
          <w:tcPr>
            <w:tcW w:w="132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信息工程学院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教师办公室1</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Teachers' Office1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1-103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教师办公室2</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Teachers' Office2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1-104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辅导员办公室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Counselor's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院长办公室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Dean's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1-208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副院长办公室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Vice President's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1-306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副书记办公室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Deputy Secretary's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1-306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秘书办公室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Office of the Secretary</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1-306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体育与健康学院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辅导员办公室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Counselor's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3-103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教师办公室1</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Teachers' Office1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3-101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院长办公室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Dean's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3-207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教师办公室2</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Teachers' Office2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3-201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副院长办公室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Vice President's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3-307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副书记办公室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Deputy Secretary's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3-307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秘书办公室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Office of the Secretary</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3-307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马克思主义学院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院长办公室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Dean's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4-104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教师办公室1</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Teachers' Office1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4-101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副院长办公室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Vice President's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4-201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副书记办公室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Deputy Secretary's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4-201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秘书办公室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Office of the Secretary</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4-201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7"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智能工程学院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德鑫医疗器械产业学院办公室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Dexin Medical Device Industry College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5-101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教师办公室1</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Teachers' Office1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5-102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教师办公室2</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Teachers' Office2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5-103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辅导员办公室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Counselor's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5-104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副书记办公室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Deputy Secretary's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5-104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副院长办公室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Vice President's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5-105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秘书办公室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Office of the Secretary</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5-105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院长办公室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Dean's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5-106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会议室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Conference Room</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5-107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财经与管理学院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辅导员办公室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Counselor's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6-203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院长办公室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Dean's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6-303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教师办公室1</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Teachers' Office1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6-401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教师办公室2</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Teachers' Office2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6-401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副院长办公室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Vice President's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6-403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副书记办公室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Deputy Secretary's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6-403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秘书办公室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Office of the Secretary</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6-403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艺术与建筑学院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院长办公室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Dean's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7-305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副院长办公室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Vice President's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7-306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副书记办公室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Deputy Secretary's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7-306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秘书办公室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Office of the Secretary</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7-306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辅导员办公室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Counselor's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7-307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教师办公室1</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Teachers' Office1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7-308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教师办公室2</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Teachers' Office2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7-309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商贸学院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副院长办公室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Vice President's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8-201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副书记办公室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Deputy Secretary's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8-201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秘书办公室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Office of the Secretary</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8-201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教师办公室1</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Teachers' Office1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8-202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辅导员办公室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Counselor's Office</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8-203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教师办公室2</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Teachers' Office2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8-209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院长办公室</w:t>
            </w:r>
          </w:p>
        </w:tc>
        <w:tc>
          <w:tcPr>
            <w:tcW w:w="13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Dean's office</w:t>
            </w:r>
          </w:p>
        </w:tc>
        <w:tc>
          <w:tcPr>
            <w:tcW w:w="9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8-309</w:t>
            </w:r>
          </w:p>
        </w:tc>
        <w:tc>
          <w:tcPr>
            <w:tcW w:w="8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教师办公室3</w:t>
            </w:r>
          </w:p>
        </w:tc>
        <w:tc>
          <w:tcPr>
            <w:tcW w:w="138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Teachers' Office3</w:t>
            </w:r>
          </w:p>
        </w:tc>
        <w:tc>
          <w:tcPr>
            <w:tcW w:w="9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8-409</w:t>
            </w:r>
          </w:p>
        </w:tc>
        <w:tc>
          <w:tcPr>
            <w:tcW w:w="82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多媒体教室门牌</w:t>
            </w:r>
          </w:p>
        </w:tc>
        <w:tc>
          <w:tcPr>
            <w:tcW w:w="16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铝合金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16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138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9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多媒体教室课表框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四边夹相框</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30*60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多媒体教室制度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四边夹相框</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60*80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学院名称牌子</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不锈钢腐蚀牌</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高240*宽50cm</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信息工程学院</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不锈钢腐蚀牌</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高220*宽40cm</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马克思主义学院</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不锈钢腐蚀牌</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高220*宽40cm</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体育与健康学院</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不锈钢腐蚀牌</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高220*宽40cm</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智能工程学院</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不锈钢腐蚀牌</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高220*宽40cm</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财经与管理学院</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不锈钢腐蚀牌</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高40*宽60cm</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大健康实训基地</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Big Health Training Base</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不锈钢立体字</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高600*宽180cm</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艺术与建筑学院</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不锈钢立体字</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高600*宽180cm</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商贸学院</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户外楼栋号大圆牌</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不锈钢</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直径155cm*155cm</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教学楼1-9</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1号，2号实训楼</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教师公寓1-7</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东区公寓1-13</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西区公寓1-6</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西区饭堂</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961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sz w:val="18"/>
                <w:szCs w:val="18"/>
                <w:lang w:val="en-US" w:eastAsia="zh-CN"/>
              </w:rPr>
              <w:t>合计（元）：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2"/>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2"/>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2"/>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spacing w:line="500" w:lineRule="exact"/>
        <w:jc w:val="left"/>
        <w:rPr>
          <w:rFonts w:ascii="仿宋" w:hAnsi="仿宋" w:eastAsia="仿宋"/>
          <w:b/>
          <w:color w:val="FF0000"/>
          <w:sz w:val="36"/>
          <w:szCs w:val="36"/>
        </w:rPr>
      </w:pPr>
    </w:p>
    <w:p>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rPr>
          <w:rFonts w:ascii="仿宋" w:hAnsi="仿宋" w:eastAsia="仿宋"/>
          <w:b/>
          <w:color w:val="FF0000"/>
          <w:sz w:val="36"/>
          <w:szCs w:val="36"/>
        </w:rPr>
      </w:pPr>
    </w:p>
    <w:p>
      <w:pPr>
        <w:spacing w:line="1000" w:lineRule="exact"/>
        <w:jc w:val="center"/>
        <w:rPr>
          <w:rFonts w:ascii="仿宋" w:hAnsi="仿宋" w:eastAsia="仿宋"/>
          <w:b/>
          <w:sz w:val="72"/>
          <w:szCs w:val="72"/>
        </w:rPr>
      </w:pPr>
    </w:p>
    <w:p>
      <w:pPr>
        <w:spacing w:line="1000" w:lineRule="exact"/>
        <w:jc w:val="center"/>
        <w:rPr>
          <w:rFonts w:hint="default" w:ascii="仿宋" w:hAnsi="仿宋" w:eastAsia="仿宋"/>
          <w:b/>
          <w:sz w:val="44"/>
          <w:szCs w:val="44"/>
          <w:lang w:val="en-US" w:eastAsia="zh-CN"/>
        </w:rPr>
      </w:pPr>
      <w:r>
        <w:rPr>
          <w:rFonts w:hint="eastAsia" w:ascii="仿宋" w:hAnsi="仿宋" w:eastAsia="仿宋"/>
          <w:b/>
          <w:sz w:val="44"/>
          <w:szCs w:val="44"/>
        </w:rPr>
        <w:t>广州应用科技学院</w:t>
      </w:r>
      <w:r>
        <w:rPr>
          <w:rFonts w:hint="eastAsia" w:ascii="仿宋" w:hAnsi="仿宋" w:eastAsia="仿宋"/>
          <w:b/>
          <w:sz w:val="44"/>
          <w:szCs w:val="44"/>
          <w:lang w:val="en-US" w:eastAsia="zh-CN"/>
        </w:rPr>
        <w:t>广州校区</w:t>
      </w:r>
    </w:p>
    <w:p>
      <w:pPr>
        <w:spacing w:line="1000" w:lineRule="exact"/>
        <w:jc w:val="center"/>
        <w:rPr>
          <w:rFonts w:ascii="仿宋" w:hAnsi="仿宋" w:eastAsia="仿宋"/>
          <w:b/>
          <w:sz w:val="44"/>
          <w:szCs w:val="44"/>
        </w:rPr>
      </w:pPr>
      <w:r>
        <w:rPr>
          <w:rFonts w:hint="eastAsia" w:ascii="仿宋" w:hAnsi="仿宋" w:eastAsia="仿宋"/>
          <w:b/>
          <w:sz w:val="44"/>
          <w:szCs w:val="44"/>
        </w:rPr>
        <w:t>关于制作门牌及楼栋号等物料项目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4"/>
          <w:szCs w:val="24"/>
        </w:rPr>
      </w:pPr>
      <w:bookmarkStart w:id="48" w:name="_Toc217891402"/>
      <w:bookmarkStart w:id="49" w:name="_Toc219800243"/>
      <w:bookmarkStart w:id="50" w:name="_Toc259692740"/>
      <w:bookmarkStart w:id="51" w:name="_Toc160880160"/>
      <w:bookmarkStart w:id="52" w:name="_Toc191803626"/>
      <w:bookmarkStart w:id="53" w:name="_Toc213755858"/>
      <w:bookmarkStart w:id="54" w:name="_Toc192663686"/>
      <w:bookmarkStart w:id="55" w:name="_Toc177985469"/>
      <w:bookmarkStart w:id="56" w:name="_Toc203355733"/>
      <w:bookmarkStart w:id="57" w:name="_Toc213755995"/>
      <w:bookmarkStart w:id="58" w:name="_Toc182372782"/>
      <w:bookmarkStart w:id="59" w:name="_Toc169332949"/>
      <w:bookmarkStart w:id="60" w:name="_Toc213756051"/>
      <w:bookmarkStart w:id="61" w:name="_Toc266870833"/>
      <w:bookmarkStart w:id="62" w:name="_Toc213208766"/>
      <w:bookmarkStart w:id="63" w:name="_Toc192996338"/>
      <w:bookmarkStart w:id="64" w:name="_Toc211917116"/>
      <w:bookmarkStart w:id="65" w:name="_Toc193160448"/>
      <w:bookmarkStart w:id="66" w:name="_Toc191783222"/>
      <w:bookmarkStart w:id="67" w:name="_Toc192663835"/>
      <w:bookmarkStart w:id="68" w:name="_Toc251586231"/>
      <w:bookmarkStart w:id="69" w:name="_Toc160880529"/>
      <w:bookmarkStart w:id="70" w:name="_Toc181436565"/>
      <w:bookmarkStart w:id="71" w:name="_Toc182805217"/>
      <w:bookmarkStart w:id="72" w:name="_Toc170798793"/>
      <w:bookmarkStart w:id="73" w:name="_Toc225669322"/>
      <w:bookmarkStart w:id="74" w:name="_Toc254790899"/>
      <w:bookmarkStart w:id="75" w:name="_Toc193165734"/>
      <w:bookmarkStart w:id="76" w:name="_Toc192996446"/>
      <w:bookmarkStart w:id="77" w:name="_Toc236021449"/>
      <w:bookmarkStart w:id="78" w:name="_Toc192664153"/>
      <w:bookmarkStart w:id="79" w:name="_Toc259520865"/>
      <w:bookmarkStart w:id="80" w:name="_Toc251613829"/>
      <w:bookmarkStart w:id="81" w:name="_Toc223146608"/>
      <w:bookmarkStart w:id="82" w:name="_Toc169332838"/>
      <w:bookmarkStart w:id="83" w:name="_Toc235438274"/>
      <w:bookmarkStart w:id="84" w:name="_Toc227058530"/>
      <w:bookmarkStart w:id="85" w:name="_Toc267059181"/>
      <w:bookmarkStart w:id="86" w:name="_Toc255975007"/>
      <w:bookmarkStart w:id="87" w:name="_Toc232302115"/>
      <w:bookmarkStart w:id="88" w:name="_Toc258401256"/>
      <w:bookmarkStart w:id="89" w:name="_Toc266868670"/>
      <w:bookmarkStart w:id="90" w:name="_Toc267060453"/>
      <w:bookmarkStart w:id="91" w:name="_Toc235438344"/>
      <w:bookmarkStart w:id="92" w:name="_Toc191802690"/>
      <w:bookmarkStart w:id="93" w:name="_Toc249325711"/>
      <w:bookmarkStart w:id="94" w:name="_Toc253066614"/>
      <w:bookmarkStart w:id="95" w:name="_Toc235437991"/>
      <w:bookmarkStart w:id="96" w:name="_Toc259692647"/>
      <w:bookmarkStart w:id="97" w:name="_Toc273178698"/>
      <w:bookmarkStart w:id="98" w:name="_Toc267059030"/>
      <w:bookmarkStart w:id="99" w:name="_Toc266868937"/>
      <w:bookmarkStart w:id="100" w:name="_Toc267059919"/>
      <w:bookmarkStart w:id="101" w:name="_Toc267059653"/>
      <w:bookmarkStart w:id="102" w:name="_Toc191789329"/>
      <w:bookmarkStart w:id="103" w:name="_Toc181436461"/>
      <w:bookmarkStart w:id="104" w:name="_Toc267060068"/>
      <w:bookmarkStart w:id="105" w:name="_Toc267060208"/>
      <w:bookmarkStart w:id="106" w:name="_Toc213755939"/>
      <w:bookmarkStart w:id="107" w:name="_Toc266870432"/>
      <w:bookmarkStart w:id="108" w:name="_Toc267059539"/>
      <w:bookmarkStart w:id="109" w:name="_Toc266870907"/>
      <w:bookmarkStart w:id="110" w:name="_Toc230071147"/>
      <w:bookmarkStart w:id="111" w:name="_Toc180302913"/>
      <w:bookmarkStart w:id="112" w:name="_Toc267059806"/>
      <w:bookmarkStart w:id="113" w:name="_Toc267060321"/>
      <w:r>
        <w:rPr>
          <w:rFonts w:hint="eastAsia" w:ascii="仿宋" w:hAns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sz w:val="24"/>
          <w:szCs w:val="24"/>
        </w:rPr>
        <w:t>询价响应函</w:t>
      </w:r>
    </w:p>
    <w:p>
      <w:pPr>
        <w:spacing w:after="0" w:line="480" w:lineRule="exact"/>
        <w:rPr>
          <w:rFonts w:ascii="仿宋" w:hAnsi="仿宋" w:eastAsia="仿宋"/>
          <w:sz w:val="24"/>
          <w:szCs w:val="24"/>
        </w:rPr>
      </w:pPr>
      <w:r>
        <w:rPr>
          <w:rFonts w:hint="eastAsia" w:ascii="仿宋" w:hAnsi="仿宋" w:eastAsia="仿宋"/>
          <w:sz w:val="24"/>
          <w:szCs w:val="24"/>
        </w:rPr>
        <w:t>致：</w:t>
      </w:r>
      <w:r>
        <w:rPr>
          <w:rFonts w:hint="eastAsia" w:ascii="仿宋" w:hAnsi="仿宋" w:eastAsia="仿宋"/>
          <w:color w:val="000000" w:themeColor="text1"/>
          <w:sz w:val="24"/>
          <w:szCs w:val="24"/>
          <w:lang w:val="en-US" w:eastAsia="zh-CN"/>
          <w14:textFill>
            <w14:solidFill>
              <w14:schemeClr w14:val="tx1"/>
            </w14:solidFill>
          </w14:textFill>
        </w:rPr>
        <w:t>广州应用科技学院</w:t>
      </w:r>
    </w:p>
    <w:p>
      <w:pPr>
        <w:widowControl w:val="0"/>
        <w:numPr>
          <w:ilvl w:val="1"/>
          <w:numId w:val="3"/>
        </w:numPr>
        <w:spacing w:after="0" w:line="500" w:lineRule="exact"/>
        <w:jc w:val="left"/>
        <w:rPr>
          <w:rFonts w:ascii="仿宋" w:hAnsi="仿宋" w:eastAsia="仿宋"/>
          <w:sz w:val="24"/>
          <w:szCs w:val="24"/>
        </w:rPr>
      </w:pPr>
      <w:r>
        <w:rPr>
          <w:rFonts w:hint="eastAsia" w:ascii="仿宋" w:hAnsi="仿宋" w:eastAsia="仿宋"/>
          <w:sz w:val="24"/>
          <w:szCs w:val="24"/>
        </w:rPr>
        <w:t>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r>
        <w:rPr>
          <w:rFonts w:hint="eastAsia" w:ascii="仿宋" w:hAnsi="仿宋" w:eastAsia="仿宋"/>
          <w:sz w:val="24"/>
          <w:szCs w:val="24"/>
          <w:lang w:val="en-US" w:eastAsia="zh-CN"/>
        </w:rPr>
        <w:t>报价响应文件3份，</w:t>
      </w: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r>
        <w:rPr>
          <w:rFonts w:hint="eastAsia" w:ascii="仿宋" w:hAnsi="仿宋" w:eastAsia="仿宋"/>
          <w:sz w:val="24"/>
          <w:szCs w:val="24"/>
          <w:lang w:eastAsia="zh-CN"/>
        </w:rPr>
        <w:t>（</w:t>
      </w:r>
      <w:r>
        <w:rPr>
          <w:rFonts w:hint="eastAsia" w:ascii="仿宋" w:hAnsi="仿宋" w:eastAsia="仿宋"/>
          <w:sz w:val="24"/>
          <w:szCs w:val="24"/>
          <w:lang w:val="en-US" w:eastAsia="zh-CN"/>
        </w:rPr>
        <w:t>正本1份副本2份</w:t>
      </w:r>
      <w:r>
        <w:rPr>
          <w:rFonts w:hint="eastAsia" w:ascii="仿宋" w:hAnsi="仿宋" w:eastAsia="仿宋"/>
          <w:sz w:val="24"/>
          <w:szCs w:val="24"/>
          <w:lang w:eastAsia="zh-CN"/>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4"/>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FF0000"/>
                <w:sz w:val="20"/>
                <w:szCs w:val="20"/>
              </w:rPr>
            </w:pPr>
            <w:r>
              <w:rPr>
                <w:rFonts w:hint="eastAsia" w:ascii="仿宋" w:hAnsi="仿宋" w:eastAsia="仿宋" w:cs="Tahoma"/>
                <w:b/>
                <w:bCs/>
                <w:color w:val="FF0000"/>
                <w:sz w:val="20"/>
                <w:szCs w:val="20"/>
              </w:rPr>
              <w:t>是否提供样品</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4" w:name="_Toc236021457"/>
      <w:bookmarkStart w:id="115" w:name="_Toc192664158"/>
      <w:bookmarkStart w:id="116" w:name="_Toc182805222"/>
      <w:bookmarkStart w:id="117" w:name="_Toc181436466"/>
      <w:bookmarkStart w:id="118" w:name="_Toc213755945"/>
      <w:bookmarkStart w:id="119" w:name="_Toc213755864"/>
      <w:bookmarkStart w:id="120" w:name="_Toc267059186"/>
      <w:bookmarkStart w:id="121" w:name="_Toc223146614"/>
      <w:bookmarkStart w:id="122" w:name="_Toc273178703"/>
      <w:bookmarkStart w:id="123" w:name="_Toc255975016"/>
      <w:bookmarkStart w:id="124" w:name="_Toc177985474"/>
      <w:bookmarkStart w:id="125" w:name="_Toc180302918"/>
      <w:bookmarkStart w:id="126" w:name="_Toc266870441"/>
      <w:bookmarkStart w:id="127" w:name="_Toc267059924"/>
      <w:bookmarkStart w:id="128" w:name="_Toc258401265"/>
      <w:bookmarkStart w:id="129" w:name="_Toc170798798"/>
      <w:bookmarkStart w:id="130" w:name="_Toc192996451"/>
      <w:bookmarkStart w:id="131" w:name="_Toc267060216"/>
      <w:bookmarkStart w:id="132" w:name="_Toc232302122"/>
      <w:bookmarkStart w:id="133" w:name="_Toc191789334"/>
      <w:bookmarkStart w:id="134" w:name="_Toc211917121"/>
      <w:bookmarkStart w:id="135" w:name="_Toc266868943"/>
      <w:bookmarkStart w:id="136" w:name="_Toc217891408"/>
      <w:bookmarkStart w:id="137" w:name="_Toc251613839"/>
      <w:bookmarkStart w:id="138" w:name="_Toc267060076"/>
      <w:bookmarkStart w:id="139" w:name="_Toc191802695"/>
      <w:bookmarkStart w:id="140" w:name="_Toc182372787"/>
      <w:bookmarkStart w:id="141" w:name="_Toc203355738"/>
      <w:bookmarkStart w:id="142" w:name="_Toc253066624"/>
      <w:bookmarkStart w:id="143" w:name="_Toc213756057"/>
      <w:bookmarkStart w:id="144" w:name="_Toc213756001"/>
      <w:bookmarkStart w:id="145" w:name="_Toc169332843"/>
      <w:bookmarkStart w:id="146" w:name="_Toc192996343"/>
      <w:bookmarkStart w:id="147" w:name="_Toc191803631"/>
      <w:bookmarkStart w:id="148" w:name="_Toc267060326"/>
      <w:bookmarkStart w:id="149" w:name="_Toc181436570"/>
      <w:bookmarkStart w:id="150" w:name="_Toc267059544"/>
      <w:bookmarkStart w:id="151" w:name="_Toc160880534"/>
      <w:bookmarkStart w:id="152" w:name="_Toc267059811"/>
      <w:bookmarkStart w:id="153" w:name="_Toc225669328"/>
      <w:bookmarkStart w:id="154" w:name="_Toc267060461"/>
      <w:bookmarkStart w:id="155" w:name="_Toc267059658"/>
      <w:bookmarkStart w:id="156" w:name="_Toc235438281"/>
      <w:bookmarkStart w:id="157" w:name="_Toc193165739"/>
      <w:bookmarkStart w:id="158" w:name="_Toc235438352"/>
      <w:bookmarkStart w:id="159" w:name="_Toc266870839"/>
      <w:bookmarkStart w:id="160" w:name="_Toc267059035"/>
      <w:bookmarkStart w:id="161" w:name="_Toc192663691"/>
      <w:bookmarkStart w:id="162" w:name="_Toc193160453"/>
      <w:bookmarkStart w:id="163" w:name="_Toc266870916"/>
      <w:bookmarkStart w:id="164" w:name="_Toc213208771"/>
      <w:bookmarkStart w:id="165" w:name="_Toc259520874"/>
      <w:bookmarkStart w:id="166" w:name="_Toc235437998"/>
      <w:bookmarkStart w:id="167" w:name="_Toc259692749"/>
      <w:bookmarkStart w:id="168" w:name="_Toc249325720"/>
      <w:bookmarkStart w:id="169" w:name="_Toc192663840"/>
      <w:bookmarkStart w:id="170" w:name="_Toc259692656"/>
      <w:bookmarkStart w:id="171" w:name="_Toc254790909"/>
      <w:bookmarkStart w:id="172" w:name="_Toc160880165"/>
      <w:bookmarkStart w:id="173" w:name="_Toc169332954"/>
      <w:bookmarkStart w:id="174" w:name="_Toc230071153"/>
      <w:bookmarkStart w:id="175" w:name="_Toc266868679"/>
      <w:bookmarkStart w:id="176" w:name="_Toc251586241"/>
      <w:bookmarkStart w:id="177" w:name="_Toc227058536"/>
      <w:bookmarkStart w:id="178" w:name="_Toc191783227"/>
      <w:bookmarkStart w:id="179" w:name="_Toc219800249"/>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sz w:val="24"/>
          <w:szCs w:val="24"/>
        </w:rPr>
        <w:t>参与人资质材料</w:t>
      </w:r>
    </w:p>
    <w:p>
      <w:pPr>
        <w:pStyle w:val="40"/>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5"/>
        <w:numPr>
          <w:ilvl w:val="0"/>
          <w:numId w:val="4"/>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5"/>
        <w:numPr>
          <w:ilvl w:val="0"/>
          <w:numId w:val="4"/>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5"/>
        <w:numPr>
          <w:ilvl w:val="0"/>
          <w:numId w:val="4"/>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NumberOnly">
    <w:panose1 w:val="020B0500000000000000"/>
    <w:charset w:val="00"/>
    <w:family w:val="auto"/>
    <w:pitch w:val="default"/>
    <w:sig w:usb0="8000002F" w:usb1="10000048" w:usb2="00000000" w:usb3="00000000" w:csb0="0000011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1588135" cy="386715"/>
          <wp:effectExtent l="0" t="0" r="12065" b="13335"/>
          <wp:docPr id="1" name="图片 1" descr="广应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应科"/>
                  <pic:cNvPicPr>
                    <a:picLocks noChangeAspect="1"/>
                  </pic:cNvPicPr>
                </pic:nvPicPr>
                <pic:blipFill>
                  <a:blip r:embed="rId1"/>
                  <a:stretch>
                    <a:fillRect/>
                  </a:stretch>
                </pic:blipFill>
                <pic:spPr>
                  <a:xfrm>
                    <a:off x="0" y="0"/>
                    <a:ext cx="1588135" cy="386715"/>
                  </a:xfrm>
                  <a:prstGeom prst="rect">
                    <a:avLst/>
                  </a:prstGeom>
                </pic:spPr>
              </pic:pic>
            </a:graphicData>
          </a:graphic>
        </wp:inline>
      </w:drawing>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1588135" cy="386715"/>
          <wp:effectExtent l="0" t="0" r="12065" b="13335"/>
          <wp:docPr id="2" name="图片 2" descr="广应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应科"/>
                  <pic:cNvPicPr>
                    <a:picLocks noChangeAspect="1"/>
                  </pic:cNvPicPr>
                </pic:nvPicPr>
                <pic:blipFill>
                  <a:blip r:embed="rId1"/>
                  <a:stretch>
                    <a:fillRect/>
                  </a:stretch>
                </pic:blipFill>
                <pic:spPr>
                  <a:xfrm>
                    <a:off x="0" y="0"/>
                    <a:ext cx="1588135" cy="386715"/>
                  </a:xfrm>
                  <a:prstGeom prst="rect">
                    <a:avLst/>
                  </a:prstGeom>
                </pic:spPr>
              </pic:pic>
            </a:graphicData>
          </a:graphic>
        </wp:inline>
      </w:drawing>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mNmE2ZDAxNjA3ZDc2MWMwYjk2NTcxMTJiYTFkMjU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B6926"/>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1BFC5CBA"/>
    <w:rsid w:val="1ECE670E"/>
    <w:rsid w:val="1ED8781E"/>
    <w:rsid w:val="267B4B5A"/>
    <w:rsid w:val="33721B98"/>
    <w:rsid w:val="43A43DD8"/>
    <w:rsid w:val="491A265E"/>
    <w:rsid w:val="4B1F1581"/>
    <w:rsid w:val="599975CF"/>
    <w:rsid w:val="790243F1"/>
    <w:rsid w:val="7B391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uiPriority w:val="39"/>
    <w:pPr>
      <w:spacing w:after="100" w:line="259" w:lineRule="auto"/>
      <w:ind w:left="220"/>
      <w:jc w:val="left"/>
    </w:pPr>
    <w:rPr>
      <w:rFonts w:cs="Times New Roman"/>
    </w:rPr>
  </w:style>
  <w:style w:type="paragraph" w:styleId="22">
    <w:name w:val="Normal (Web)"/>
    <w:basedOn w:val="1"/>
    <w:semiHidden/>
    <w:unhideWhenUsed/>
    <w:qFormat/>
    <w:uiPriority w:val="99"/>
    <w:rPr>
      <w:sz w:val="24"/>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12</Pages>
  <Words>3344</Words>
  <Characters>4602</Characters>
  <Lines>19</Lines>
  <Paragraphs>5</Paragraphs>
  <TotalTime>9</TotalTime>
  <ScaleCrop>false</ScaleCrop>
  <LinksUpToDate>false</LinksUpToDate>
  <CharactersWithSpaces>4891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陈惠琳</cp:lastModifiedBy>
  <dcterms:modified xsi:type="dcterms:W3CDTF">2023-06-21T07:54:40Z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0A443891AFC147FF81499196B355F0B3_13</vt:lpwstr>
  </property>
</Properties>
</file>